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8DDB" w14:textId="77777777" w:rsidR="00B231FB" w:rsidRDefault="00B231FB" w:rsidP="00B231FB">
      <w:pPr>
        <w:numPr>
          <w:ilvl w:val="0"/>
          <w:numId w:val="1"/>
        </w:numPr>
        <w:tabs>
          <w:tab w:val="num" w:pos="210"/>
        </w:tabs>
        <w:autoSpaceDE w:val="0"/>
        <w:autoSpaceDN w:val="0"/>
        <w:adjustRightInd w:val="0"/>
        <w:spacing w:after="20"/>
        <w:ind w:left="249" w:right="-113" w:hanging="249"/>
        <w:jc w:val="both"/>
        <w:rPr>
          <w:rFonts w:ascii="EAGKGF+Arial,Bold" w:hAnsi="EAGKGF+Arial,Bold" w:cs="EAGKGF+Arial,Bold"/>
          <w:color w:val="000000"/>
          <w:sz w:val="14"/>
          <w:szCs w:val="14"/>
        </w:rPr>
      </w:pPr>
      <w:r>
        <w:rPr>
          <w:rFonts w:ascii="EAGKGF+Arial,Bold" w:hAnsi="EAGKGF+Arial,Bold" w:cs="EAGKGF+Arial,Bold"/>
          <w:b/>
          <w:bCs/>
          <w:color w:val="000000"/>
          <w:sz w:val="14"/>
          <w:szCs w:val="14"/>
        </w:rPr>
        <w:t xml:space="preserve">Allgemeines </w:t>
      </w:r>
    </w:p>
    <w:p w14:paraId="14BA15EE" w14:textId="7E78BC2C" w:rsidR="00B231FB" w:rsidRDefault="00FB63BD" w:rsidP="00B231FB">
      <w:pPr>
        <w:numPr>
          <w:ilvl w:val="1"/>
          <w:numId w:val="1"/>
        </w:numPr>
        <w:tabs>
          <w:tab w:val="num" w:pos="252"/>
        </w:tabs>
        <w:autoSpaceDE w:val="0"/>
        <w:autoSpaceDN w:val="0"/>
        <w:adjustRightInd w:val="0"/>
        <w:ind w:left="252" w:hanging="252"/>
        <w:jc w:val="both"/>
        <w:rPr>
          <w:rFonts w:cs="EAGKGH+Arial"/>
          <w:color w:val="000000"/>
          <w:sz w:val="14"/>
          <w:szCs w:val="14"/>
        </w:rPr>
      </w:pPr>
      <w:r>
        <w:rPr>
          <w:rFonts w:ascii="EAGKGH+Arial" w:hAnsi="EAGKGH+Arial" w:cs="EAGKGH+Arial"/>
          <w:color w:val="000000"/>
          <w:sz w:val="14"/>
          <w:szCs w:val="14"/>
        </w:rPr>
        <w:t>IWK</w:t>
      </w:r>
      <w:r w:rsidR="00B231FB">
        <w:rPr>
          <w:rFonts w:ascii="EAGKGH+Arial" w:hAnsi="EAGKGH+Arial" w:cs="EAGKGH+Arial"/>
          <w:color w:val="000000"/>
          <w:sz w:val="14"/>
          <w:szCs w:val="14"/>
        </w:rPr>
        <w:t xml:space="preserve"> bestellt beim Lieferanten nach diesen </w:t>
      </w:r>
      <w:r w:rsidR="00B231FB">
        <w:rPr>
          <w:rFonts w:cs="EAGKGH+Arial"/>
          <w:color w:val="000000"/>
          <w:sz w:val="14"/>
          <w:szCs w:val="14"/>
        </w:rPr>
        <w:t xml:space="preserve">Einkaufsbedingungen. Diese gelten auch dann als vereinbart, wenn der Lieferant den Auftrag unter Bezug auf seine Lieferbedingungen bestätigt und ausführt. Die Allgemeinen Vertrags- oder Lieferbedingungen des Lieferanten, die er uns übersendet oder auf die er sich bezieht, haben somit keine Gültigkeit, es sei denn, dass diese von uns schriftlich anerkannt werden. Dies gilt auch, wenn </w:t>
      </w:r>
      <w:r>
        <w:rPr>
          <w:rFonts w:cs="EAGKGH+Arial"/>
          <w:color w:val="000000"/>
          <w:sz w:val="14"/>
          <w:szCs w:val="14"/>
        </w:rPr>
        <w:t>IWK</w:t>
      </w:r>
      <w:r w:rsidR="00B231FB">
        <w:rPr>
          <w:rFonts w:cs="EAGKGH+Arial"/>
          <w:color w:val="000000"/>
          <w:sz w:val="14"/>
          <w:szCs w:val="14"/>
        </w:rPr>
        <w:t xml:space="preserve"> später Lieferungen abnehmen und Zahlungen leisten. Stillschweigen gilt keineswegs als Einverständnis.</w:t>
      </w:r>
    </w:p>
    <w:p w14:paraId="41E7F93E"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cs="EAGKGF+Arial,Bold"/>
          <w:b/>
          <w:bCs/>
          <w:color w:val="000000"/>
          <w:sz w:val="14"/>
          <w:szCs w:val="14"/>
        </w:rPr>
        <w:t xml:space="preserve">Vertragsinhalt, Vertragsabschluss </w:t>
      </w:r>
    </w:p>
    <w:p w14:paraId="7B5198AF"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Nur schriftliche Bestellungen sind gültig. Andersartige Bestellungen und Vereinbarungen bedürfen zu ihrer Verbindlichkeit unserer schriftlichen Bestä</w:t>
      </w:r>
      <w:r>
        <w:rPr>
          <w:rFonts w:ascii="EAGKGH+Arial" w:hAnsi="EAGKGH+Arial" w:cs="EAGKGH+Arial"/>
          <w:color w:val="000000"/>
          <w:sz w:val="14"/>
          <w:szCs w:val="14"/>
        </w:rPr>
        <w:softHyphen/>
        <w:t>tigung.</w:t>
      </w:r>
    </w:p>
    <w:p w14:paraId="045B77A0"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Werden für eine bestimmte Bestellung besondere, von diesen Bedingungen abweichende Bedingungen vereinbart, so gelten diese Allgemeinen Einkaufs</w:t>
      </w:r>
      <w:r>
        <w:rPr>
          <w:rFonts w:ascii="EAGKGH+Arial" w:hAnsi="EAGKGH+Arial" w:cs="EAGKGH+Arial"/>
          <w:color w:val="000000"/>
          <w:sz w:val="14"/>
          <w:szCs w:val="14"/>
        </w:rPr>
        <w:softHyphen/>
        <w:t>bedingungen nachrangig und ergänzend.</w:t>
      </w:r>
    </w:p>
    <w:p w14:paraId="4408E6F4" w14:textId="7B32DC18"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 xml:space="preserve">Die Bestellungen von </w:t>
      </w:r>
      <w:r w:rsidR="00FB63BD">
        <w:rPr>
          <w:rFonts w:ascii="EAGKGH+Arial" w:hAnsi="EAGKGH+Arial" w:cs="EAGKGH+Arial"/>
          <w:color w:val="000000"/>
          <w:sz w:val="14"/>
          <w:szCs w:val="14"/>
        </w:rPr>
        <w:t>IWK</w:t>
      </w:r>
      <w:r>
        <w:rPr>
          <w:rFonts w:ascii="EAGKGH+Arial" w:hAnsi="EAGKGH+Arial" w:cs="EAGKGH+Arial"/>
          <w:color w:val="000000"/>
          <w:sz w:val="14"/>
          <w:szCs w:val="14"/>
        </w:rPr>
        <w:t xml:space="preserve"> sind vom Lieferanten, soweit diese nicht sofort ausgeliefert werden können, unverzüglich schriftlich (auch per E-Mail) zu be</w:t>
      </w:r>
      <w:r>
        <w:rPr>
          <w:rFonts w:ascii="EAGKGH+Arial" w:hAnsi="EAGKGH+Arial" w:cs="EAGKGH+Arial"/>
          <w:color w:val="000000"/>
          <w:sz w:val="14"/>
          <w:szCs w:val="14"/>
        </w:rPr>
        <w:softHyphen/>
        <w:t>stätigen. Erfolgt die Bestätigung mit einem verbindlichen Liefertermin nicht in</w:t>
      </w:r>
      <w:r>
        <w:rPr>
          <w:rFonts w:ascii="EAGKGH+Arial" w:hAnsi="EAGKGH+Arial" w:cs="EAGKGH+Arial"/>
          <w:color w:val="000000"/>
          <w:sz w:val="14"/>
          <w:szCs w:val="14"/>
        </w:rPr>
        <w:softHyphen/>
        <w:t xml:space="preserve">nerhalb einer Woche, so ist die </w:t>
      </w:r>
      <w:r w:rsidR="00FB63BD">
        <w:rPr>
          <w:rFonts w:ascii="EAGKGH+Arial" w:hAnsi="EAGKGH+Arial" w:cs="EAGKGH+Arial"/>
          <w:color w:val="000000"/>
          <w:sz w:val="14"/>
          <w:szCs w:val="14"/>
        </w:rPr>
        <w:t>IWK</w:t>
      </w:r>
      <w:r>
        <w:rPr>
          <w:rFonts w:ascii="EAGKGH+Arial" w:hAnsi="EAGKGH+Arial" w:cs="EAGKGH+Arial"/>
          <w:color w:val="000000"/>
          <w:sz w:val="14"/>
          <w:szCs w:val="14"/>
        </w:rPr>
        <w:t xml:space="preserve"> an die zugrundeliegende Bestellung nicht gebunden.</w:t>
      </w:r>
    </w:p>
    <w:p w14:paraId="2490F077" w14:textId="060670AF"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 xml:space="preserve">Auf sämtlichen Belegen ist die </w:t>
      </w:r>
      <w:r w:rsidR="00FB63BD">
        <w:rPr>
          <w:rFonts w:ascii="EAGKGH+Arial" w:hAnsi="EAGKGH+Arial" w:cs="EAGKGH+Arial"/>
          <w:color w:val="000000"/>
          <w:sz w:val="14"/>
          <w:szCs w:val="14"/>
        </w:rPr>
        <w:t>IWK</w:t>
      </w:r>
      <w:r>
        <w:rPr>
          <w:rFonts w:ascii="EAGKGH+Arial" w:hAnsi="EAGKGH+Arial" w:cs="EAGKGH+Arial"/>
          <w:color w:val="000000"/>
          <w:sz w:val="14"/>
          <w:szCs w:val="14"/>
        </w:rPr>
        <w:t>-Bestellnummer und Besteller an</w:t>
      </w:r>
      <w:r>
        <w:rPr>
          <w:rFonts w:ascii="EAGKGH+Arial" w:hAnsi="EAGKGH+Arial" w:cs="EAGKGH+Arial"/>
          <w:color w:val="000000"/>
          <w:sz w:val="14"/>
          <w:szCs w:val="14"/>
        </w:rPr>
        <w:softHyphen/>
        <w:t>zugeben. Andernfalls wird die Bestellung oder die Rechnung retourniert.</w:t>
      </w:r>
    </w:p>
    <w:p w14:paraId="6765C631" w14:textId="21775A26"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cs="Arial"/>
          <w:sz w:val="14"/>
          <w:szCs w:val="14"/>
        </w:rPr>
        <w:t xml:space="preserve">Jegliche Mehrkosten, die aus Nichtbeachtung der Vorschriften von </w:t>
      </w:r>
      <w:r w:rsidR="00FB63BD">
        <w:rPr>
          <w:rFonts w:cs="Arial"/>
          <w:sz w:val="14"/>
          <w:szCs w:val="14"/>
        </w:rPr>
        <w:t>IWK</w:t>
      </w:r>
      <w:r>
        <w:rPr>
          <w:rFonts w:cs="Arial"/>
          <w:sz w:val="14"/>
          <w:szCs w:val="14"/>
        </w:rPr>
        <w:t xml:space="preserve"> entstehen, gehen zu Lasten des Lieferanten.</w:t>
      </w:r>
    </w:p>
    <w:p w14:paraId="46713226"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Die Erstellung von Angeboten des Lieferanten erfolgt kostenlos und unver</w:t>
      </w:r>
      <w:r>
        <w:rPr>
          <w:rFonts w:ascii="EAGKGH+Arial" w:hAnsi="EAGKGH+Arial" w:cs="EAGKGH+Arial"/>
          <w:color w:val="000000"/>
          <w:sz w:val="14"/>
          <w:szCs w:val="14"/>
        </w:rPr>
        <w:softHyphen/>
        <w:t xml:space="preserve">bindlich. </w:t>
      </w:r>
    </w:p>
    <w:p w14:paraId="7F9DA84E" w14:textId="77777777" w:rsidR="00B231FB" w:rsidRDefault="00B231FB" w:rsidP="00B231FB">
      <w:pPr>
        <w:numPr>
          <w:ilvl w:val="0"/>
          <w:numId w:val="1"/>
        </w:numPr>
        <w:tabs>
          <w:tab w:val="num" w:pos="224"/>
          <w:tab w:val="num" w:pos="252"/>
        </w:tabs>
        <w:autoSpaceDE w:val="0"/>
        <w:autoSpaceDN w:val="0"/>
        <w:adjustRightInd w:val="0"/>
        <w:spacing w:before="120" w:after="20"/>
        <w:ind w:left="252" w:right="-113" w:hanging="252"/>
        <w:jc w:val="both"/>
        <w:rPr>
          <w:rFonts w:ascii="EAGKGF+Arial,Bold" w:hAnsi="EAGKGF+Arial,Bold" w:cs="EAGKGF+Arial,Bold"/>
          <w:color w:val="000000"/>
          <w:sz w:val="14"/>
          <w:szCs w:val="14"/>
        </w:rPr>
      </w:pPr>
      <w:r>
        <w:rPr>
          <w:rFonts w:ascii="EAGKGF+Arial,Bold" w:hAnsi="EAGKGF+Arial,Bold" w:cs="EAGKGF+Arial,Bold"/>
          <w:b/>
          <w:bCs/>
          <w:color w:val="000000"/>
          <w:sz w:val="14"/>
          <w:szCs w:val="14"/>
        </w:rPr>
        <w:t>Preise</w:t>
      </w:r>
    </w:p>
    <w:p w14:paraId="5E4EA3A2" w14:textId="77777777"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 xml:space="preserve">Sämtliche Preise verstehen sich exkl. </w:t>
      </w:r>
      <w:proofErr w:type="spellStart"/>
      <w:r>
        <w:rPr>
          <w:rFonts w:ascii="EAGKGH+Arial" w:hAnsi="EAGKGH+Arial" w:cs="EAGKGH+Arial"/>
          <w:color w:val="000000"/>
          <w:sz w:val="14"/>
          <w:szCs w:val="14"/>
        </w:rPr>
        <w:t>MWSt.</w:t>
      </w:r>
      <w:proofErr w:type="spellEnd"/>
      <w:r>
        <w:rPr>
          <w:rFonts w:ascii="EAGKGH+Arial" w:hAnsi="EAGKGH+Arial" w:cs="EAGKGH+Arial"/>
          <w:color w:val="000000"/>
          <w:sz w:val="14"/>
          <w:szCs w:val="14"/>
        </w:rPr>
        <w:t xml:space="preserve"> </w:t>
      </w:r>
    </w:p>
    <w:p w14:paraId="09E85BE4" w14:textId="40F6DFF0" w:rsidR="00B231FB" w:rsidRPr="00ED17E8" w:rsidRDefault="00B231FB" w:rsidP="00ED17E8">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cs="Arial"/>
          <w:sz w:val="14"/>
          <w:szCs w:val="14"/>
        </w:rPr>
        <w:t xml:space="preserve">Sind </w:t>
      </w:r>
      <w:r w:rsidR="002C72AA">
        <w:rPr>
          <w:rFonts w:cs="Arial"/>
          <w:sz w:val="14"/>
          <w:szCs w:val="14"/>
        </w:rPr>
        <w:t>keine abweichenden Bedingungen</w:t>
      </w:r>
      <w:r>
        <w:rPr>
          <w:rFonts w:cs="Arial"/>
          <w:sz w:val="14"/>
          <w:szCs w:val="14"/>
        </w:rPr>
        <w:t xml:space="preserve"> schriftlich vereinbart, umfasst der </w:t>
      </w:r>
      <w:r w:rsidR="005C3D63">
        <w:rPr>
          <w:rFonts w:cs="Arial"/>
          <w:sz w:val="14"/>
          <w:szCs w:val="14"/>
        </w:rPr>
        <w:t>IWK</w:t>
      </w:r>
      <w:r>
        <w:rPr>
          <w:rFonts w:cs="Arial"/>
          <w:sz w:val="14"/>
          <w:szCs w:val="14"/>
        </w:rPr>
        <w:t xml:space="preserve"> genannte Preis neben dem Waren- / Leistungswert auch </w:t>
      </w:r>
      <w:r w:rsidR="000902E2">
        <w:rPr>
          <w:rFonts w:cs="Arial"/>
          <w:sz w:val="14"/>
          <w:szCs w:val="14"/>
        </w:rPr>
        <w:t>Verpackung</w:t>
      </w:r>
      <w:r>
        <w:rPr>
          <w:rFonts w:cs="Arial"/>
          <w:sz w:val="14"/>
          <w:szCs w:val="14"/>
        </w:rPr>
        <w:t>-</w:t>
      </w:r>
      <w:r w:rsidR="00ED17E8">
        <w:rPr>
          <w:rFonts w:cs="Arial"/>
          <w:sz w:val="14"/>
          <w:szCs w:val="14"/>
        </w:rPr>
        <w:t>, Verladekosten,</w:t>
      </w:r>
      <w:r>
        <w:rPr>
          <w:rFonts w:cs="Arial"/>
          <w:sz w:val="14"/>
          <w:szCs w:val="14"/>
        </w:rPr>
        <w:t xml:space="preserve"> </w:t>
      </w:r>
      <w:r w:rsidR="00ED17E8">
        <w:rPr>
          <w:rFonts w:cs="Arial"/>
          <w:sz w:val="14"/>
          <w:szCs w:val="14"/>
        </w:rPr>
        <w:t xml:space="preserve">Ausfuhrdeklaration und </w:t>
      </w:r>
      <w:r w:rsidRPr="00ED17E8">
        <w:rPr>
          <w:rFonts w:cs="Arial"/>
          <w:sz w:val="14"/>
          <w:szCs w:val="14"/>
        </w:rPr>
        <w:t>(ggf.) zusätzliche staatliche Auflagen</w:t>
      </w:r>
      <w:r w:rsidR="00ED17E8">
        <w:rPr>
          <w:rFonts w:cs="Arial"/>
          <w:sz w:val="14"/>
          <w:szCs w:val="14"/>
        </w:rPr>
        <w:t xml:space="preserve"> des Exportlandes</w:t>
      </w:r>
      <w:r w:rsidRPr="00ED17E8">
        <w:rPr>
          <w:rFonts w:cs="Arial"/>
          <w:sz w:val="14"/>
          <w:szCs w:val="14"/>
        </w:rPr>
        <w:t xml:space="preserve">. </w:t>
      </w:r>
      <w:r w:rsidR="000902E2" w:rsidRPr="00ED17E8">
        <w:rPr>
          <w:rFonts w:ascii="EAGKGH+Arial" w:hAnsi="EAGKGH+Arial" w:cs="EAGKGH+Arial"/>
          <w:color w:val="000000"/>
          <w:sz w:val="14"/>
          <w:szCs w:val="14"/>
        </w:rPr>
        <w:t>Für handels</w:t>
      </w:r>
      <w:r w:rsidRPr="00ED17E8">
        <w:rPr>
          <w:rFonts w:ascii="EAGKGH+Arial" w:hAnsi="EAGKGH+Arial" w:cs="EAGKGH+Arial"/>
          <w:color w:val="000000"/>
          <w:sz w:val="14"/>
          <w:szCs w:val="14"/>
        </w:rPr>
        <w:t>statistische Zwecke sind sämtliche Neben</w:t>
      </w:r>
      <w:r w:rsidRPr="00ED17E8">
        <w:rPr>
          <w:rFonts w:ascii="EAGKGH+Arial" w:hAnsi="EAGKGH+Arial" w:cs="EAGKGH+Arial"/>
          <w:color w:val="000000"/>
          <w:sz w:val="14"/>
          <w:szCs w:val="14"/>
        </w:rPr>
        <w:softHyphen/>
        <w:t>kosten separat auszuweisen.</w:t>
      </w:r>
    </w:p>
    <w:p w14:paraId="3219EBBB" w14:textId="57509028" w:rsidR="00B231FB" w:rsidRPr="001236D1"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1236D1">
        <w:rPr>
          <w:rFonts w:ascii="EAGKGF+Arial,Bold" w:hAnsi="EAGKGF+Arial,Bold" w:cs="EAGKGF+Arial,Bold"/>
          <w:b/>
          <w:bCs/>
          <w:color w:val="000000"/>
          <w:sz w:val="14"/>
          <w:szCs w:val="14"/>
        </w:rPr>
        <w:t>Lieferung</w:t>
      </w:r>
      <w:r w:rsidR="00D21CA7" w:rsidRPr="001236D1">
        <w:rPr>
          <w:rFonts w:ascii="EAGKGF+Arial,Bold" w:hAnsi="EAGKGF+Arial,Bold" w:cs="EAGKGF+Arial,Bold"/>
          <w:b/>
          <w:bCs/>
          <w:color w:val="000000"/>
          <w:sz w:val="14"/>
          <w:szCs w:val="14"/>
        </w:rPr>
        <w:t>, Leistung des Lieferanten</w:t>
      </w:r>
      <w:r w:rsidRPr="001236D1">
        <w:rPr>
          <w:rFonts w:ascii="EAGKGF+Arial,Bold" w:hAnsi="EAGKGF+Arial,Bold" w:cs="EAGKGF+Arial,Bold"/>
          <w:b/>
          <w:bCs/>
          <w:color w:val="000000"/>
          <w:sz w:val="14"/>
          <w:szCs w:val="14"/>
        </w:rPr>
        <w:t xml:space="preserve"> und Eigentumsübergang</w:t>
      </w:r>
    </w:p>
    <w:p w14:paraId="27753DBA" w14:textId="24C5DF45" w:rsidR="00B231FB" w:rsidRPr="001236D1" w:rsidRDefault="00B231FB" w:rsidP="00B231FB">
      <w:pPr>
        <w:numPr>
          <w:ilvl w:val="1"/>
          <w:numId w:val="1"/>
        </w:numPr>
        <w:tabs>
          <w:tab w:val="num" w:pos="252"/>
        </w:tabs>
        <w:autoSpaceDE w:val="0"/>
        <w:autoSpaceDN w:val="0"/>
        <w:adjustRightInd w:val="0"/>
        <w:ind w:left="252" w:hanging="252"/>
        <w:jc w:val="both"/>
        <w:rPr>
          <w:rFonts w:cs="EAGKGH+Arial"/>
          <w:color w:val="000000"/>
          <w:sz w:val="14"/>
          <w:szCs w:val="14"/>
        </w:rPr>
      </w:pPr>
      <w:r w:rsidRPr="001236D1">
        <w:rPr>
          <w:rFonts w:ascii="EAGKGH+Arial" w:hAnsi="EAGKGH+Arial" w:cs="EAGKGH+Arial"/>
          <w:color w:val="000000"/>
          <w:sz w:val="14"/>
          <w:szCs w:val="14"/>
        </w:rPr>
        <w:t xml:space="preserve">Bestellungen unterliegen </w:t>
      </w:r>
      <w:r w:rsidR="009A412C" w:rsidRPr="001236D1">
        <w:rPr>
          <w:rFonts w:ascii="EAGKGH+Arial" w:hAnsi="EAGKGH+Arial" w:cs="EAGKGH+Arial"/>
          <w:color w:val="000000"/>
          <w:sz w:val="14"/>
          <w:szCs w:val="14"/>
        </w:rPr>
        <w:t xml:space="preserve">grundsätzlich </w:t>
      </w:r>
      <w:r w:rsidRPr="001236D1">
        <w:rPr>
          <w:rFonts w:ascii="EAGKGH+Arial" w:hAnsi="EAGKGH+Arial" w:cs="EAGKGH+Arial"/>
          <w:color w:val="000000"/>
          <w:sz w:val="14"/>
          <w:szCs w:val="14"/>
        </w:rPr>
        <w:t xml:space="preserve">den </w:t>
      </w:r>
      <w:proofErr w:type="spellStart"/>
      <w:r w:rsidRPr="001236D1">
        <w:rPr>
          <w:rFonts w:ascii="EAGKGH+Arial" w:hAnsi="EAGKGH+Arial" w:cs="EAGKGH+Arial"/>
          <w:color w:val="000000"/>
          <w:sz w:val="14"/>
          <w:szCs w:val="14"/>
        </w:rPr>
        <w:t>Incoterms</w:t>
      </w:r>
      <w:proofErr w:type="spellEnd"/>
      <w:r w:rsidRPr="001236D1">
        <w:rPr>
          <w:rFonts w:ascii="EAGKGH+Arial" w:hAnsi="EAGKGH+Arial" w:cs="EAGKGH+Arial"/>
          <w:color w:val="000000"/>
          <w:sz w:val="14"/>
          <w:szCs w:val="14"/>
        </w:rPr>
        <w:t xml:space="preserve"> 20</w:t>
      </w:r>
      <w:r w:rsidR="003361DF" w:rsidRPr="001236D1">
        <w:rPr>
          <w:rFonts w:ascii="EAGKGH+Arial" w:hAnsi="EAGKGH+Arial" w:cs="EAGKGH+Arial"/>
          <w:color w:val="000000"/>
          <w:sz w:val="14"/>
          <w:szCs w:val="14"/>
        </w:rPr>
        <w:t>20</w:t>
      </w:r>
      <w:r w:rsidRPr="001236D1">
        <w:rPr>
          <w:rFonts w:ascii="EAGKGH+Arial" w:hAnsi="EAGKGH+Arial" w:cs="EAGKGH+Arial"/>
          <w:color w:val="000000"/>
          <w:sz w:val="14"/>
          <w:szCs w:val="14"/>
        </w:rPr>
        <w:t xml:space="preserve">. Es gilt </w:t>
      </w:r>
      <w:proofErr w:type="gramStart"/>
      <w:r w:rsidRPr="001236D1">
        <w:rPr>
          <w:rFonts w:ascii="EAGKGH+Arial" w:hAnsi="EAGKGH+Arial" w:cs="EAGKGH+Arial"/>
          <w:color w:val="000000"/>
          <w:sz w:val="14"/>
          <w:szCs w:val="14"/>
        </w:rPr>
        <w:t>FCA Lieferwerk</w:t>
      </w:r>
      <w:proofErr w:type="gramEnd"/>
      <w:r w:rsidRPr="001236D1">
        <w:rPr>
          <w:rFonts w:ascii="EAGKGH+Arial" w:hAnsi="EAGKGH+Arial" w:cs="EAGKGH+Arial"/>
          <w:color w:val="000000"/>
          <w:sz w:val="14"/>
          <w:szCs w:val="14"/>
        </w:rPr>
        <w:t>.</w:t>
      </w:r>
      <w:r w:rsidR="009A412C" w:rsidRPr="001236D1">
        <w:rPr>
          <w:rFonts w:ascii="EAGKGH+Arial" w:hAnsi="EAGKGH+Arial" w:cs="EAGKGH+Arial"/>
          <w:color w:val="000000"/>
          <w:sz w:val="14"/>
          <w:szCs w:val="14"/>
        </w:rPr>
        <w:t xml:space="preserve"> Abweichende </w:t>
      </w:r>
      <w:proofErr w:type="spellStart"/>
      <w:r w:rsidR="009A412C" w:rsidRPr="001236D1">
        <w:rPr>
          <w:rFonts w:ascii="EAGKGH+Arial" w:hAnsi="EAGKGH+Arial" w:cs="EAGKGH+Arial"/>
          <w:color w:val="000000"/>
          <w:sz w:val="14"/>
          <w:szCs w:val="14"/>
        </w:rPr>
        <w:t>Incoterms</w:t>
      </w:r>
      <w:proofErr w:type="spellEnd"/>
      <w:r w:rsidR="009A412C" w:rsidRPr="001236D1">
        <w:rPr>
          <w:rFonts w:ascii="EAGKGH+Arial" w:hAnsi="EAGKGH+Arial" w:cs="EAGKGH+Arial"/>
          <w:color w:val="000000"/>
          <w:sz w:val="14"/>
          <w:szCs w:val="14"/>
        </w:rPr>
        <w:t xml:space="preserve"> müssen schriftlich durch die </w:t>
      </w:r>
      <w:r w:rsidR="00FB63BD">
        <w:rPr>
          <w:rFonts w:ascii="EAGKGH+Arial" w:hAnsi="EAGKGH+Arial" w:cs="EAGKGH+Arial"/>
          <w:color w:val="000000"/>
          <w:sz w:val="14"/>
          <w:szCs w:val="14"/>
        </w:rPr>
        <w:t>IWK</w:t>
      </w:r>
      <w:r w:rsidR="009A412C" w:rsidRPr="001236D1">
        <w:rPr>
          <w:rFonts w:ascii="EAGKGH+Arial" w:hAnsi="EAGKGH+Arial" w:cs="EAGKGH+Arial"/>
          <w:color w:val="000000"/>
          <w:sz w:val="14"/>
          <w:szCs w:val="14"/>
        </w:rPr>
        <w:t xml:space="preserve"> bestätigt werden.</w:t>
      </w:r>
    </w:p>
    <w:p w14:paraId="782F5A70" w14:textId="2DDDBAFF" w:rsidR="00D21CA7" w:rsidRPr="001236D1" w:rsidRDefault="00D21CA7" w:rsidP="00B231FB">
      <w:pPr>
        <w:numPr>
          <w:ilvl w:val="1"/>
          <w:numId w:val="1"/>
        </w:numPr>
        <w:tabs>
          <w:tab w:val="num" w:pos="252"/>
        </w:tabs>
        <w:autoSpaceDE w:val="0"/>
        <w:autoSpaceDN w:val="0"/>
        <w:adjustRightInd w:val="0"/>
        <w:ind w:left="252" w:hanging="252"/>
        <w:jc w:val="both"/>
        <w:rPr>
          <w:rFonts w:cs="EAGKGH+Arial"/>
          <w:color w:val="000000"/>
          <w:sz w:val="14"/>
          <w:szCs w:val="14"/>
        </w:rPr>
      </w:pPr>
      <w:r w:rsidRPr="001236D1">
        <w:rPr>
          <w:rFonts w:cs="EAGKGH+Arial"/>
          <w:color w:val="000000"/>
          <w:sz w:val="14"/>
          <w:szCs w:val="14"/>
        </w:rPr>
        <w:t xml:space="preserve">Lieferungen von Lieferanten und Unterlieferanten sind Gegenstand des Qualitätssicherungs-Systems von </w:t>
      </w:r>
      <w:r w:rsidR="00FB63BD">
        <w:rPr>
          <w:rFonts w:cs="EAGKGH+Arial"/>
          <w:color w:val="000000"/>
          <w:sz w:val="14"/>
          <w:szCs w:val="14"/>
        </w:rPr>
        <w:t>IWK</w:t>
      </w:r>
      <w:r w:rsidRPr="001236D1">
        <w:rPr>
          <w:rFonts w:cs="EAGKGH+Arial"/>
          <w:color w:val="000000"/>
          <w:sz w:val="14"/>
          <w:szCs w:val="14"/>
        </w:rPr>
        <w:t xml:space="preserve"> gemäss ISO9001 / EN29001</w:t>
      </w:r>
      <w:r w:rsidRPr="00AE0CD6">
        <w:rPr>
          <w:rFonts w:cs="EAGKGH+Arial"/>
          <w:color w:val="000000"/>
          <w:sz w:val="14"/>
          <w:szCs w:val="14"/>
        </w:rPr>
        <w:t>.</w:t>
      </w:r>
      <w:r w:rsidRPr="001236D1">
        <w:rPr>
          <w:rFonts w:cs="EAGKGH+Arial"/>
          <w:color w:val="000000"/>
          <w:sz w:val="14"/>
          <w:szCs w:val="14"/>
        </w:rPr>
        <w:t xml:space="preserve"> Lieferanten und Unterlieferanten werden dementsprechend beurteilt.</w:t>
      </w:r>
    </w:p>
    <w:p w14:paraId="57CDC569" w14:textId="603C62BB" w:rsidR="00B231FB" w:rsidRPr="001236D1" w:rsidRDefault="00B231FB" w:rsidP="00B231FB">
      <w:pPr>
        <w:numPr>
          <w:ilvl w:val="1"/>
          <w:numId w:val="1"/>
        </w:numPr>
        <w:tabs>
          <w:tab w:val="num" w:pos="252"/>
        </w:tabs>
        <w:autoSpaceDE w:val="0"/>
        <w:autoSpaceDN w:val="0"/>
        <w:adjustRightInd w:val="0"/>
        <w:ind w:left="252" w:hanging="252"/>
        <w:jc w:val="both"/>
        <w:rPr>
          <w:rFonts w:cs="EAGKGH+Arial"/>
          <w:color w:val="000000"/>
          <w:sz w:val="14"/>
          <w:szCs w:val="14"/>
        </w:rPr>
      </w:pPr>
      <w:r w:rsidRPr="001236D1">
        <w:rPr>
          <w:rFonts w:ascii="EAGKGH+Arial" w:hAnsi="EAGKGH+Arial" w:cs="EAGKGH+Arial"/>
          <w:color w:val="000000"/>
          <w:sz w:val="14"/>
          <w:szCs w:val="14"/>
        </w:rPr>
        <w:t xml:space="preserve">Art, Umfang und Zeitpunkt der Lieferung bzw. Leistung sind in der </w:t>
      </w:r>
      <w:r w:rsidRPr="001236D1">
        <w:rPr>
          <w:rFonts w:cs="EAGKGH+Arial"/>
          <w:color w:val="000000"/>
          <w:sz w:val="14"/>
          <w:szCs w:val="14"/>
        </w:rPr>
        <w:t xml:space="preserve">Bestellung festgelegt. Abweichungen davon, bedürfen der schriftlichen Zustimmung von </w:t>
      </w:r>
      <w:r w:rsidR="005C3D63">
        <w:rPr>
          <w:rFonts w:cs="EAGKGH+Arial"/>
          <w:color w:val="000000"/>
          <w:sz w:val="14"/>
          <w:szCs w:val="14"/>
        </w:rPr>
        <w:t>IWK</w:t>
      </w:r>
      <w:r w:rsidRPr="001236D1">
        <w:rPr>
          <w:rFonts w:cs="EAGKGH+Arial"/>
          <w:color w:val="000000"/>
          <w:sz w:val="14"/>
          <w:szCs w:val="14"/>
        </w:rPr>
        <w:t xml:space="preserve">. </w:t>
      </w:r>
    </w:p>
    <w:p w14:paraId="0C1B39DE" w14:textId="20687B21"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cs="Arial"/>
          <w:sz w:val="14"/>
          <w:szCs w:val="14"/>
        </w:rPr>
        <w:t xml:space="preserve">Eigentum und Gefahr an den Produkten gehen auf </w:t>
      </w:r>
      <w:r w:rsidR="00FB63BD">
        <w:rPr>
          <w:rFonts w:cs="Arial"/>
          <w:sz w:val="14"/>
          <w:szCs w:val="14"/>
        </w:rPr>
        <w:t>IWK</w:t>
      </w:r>
      <w:r w:rsidRPr="001236D1">
        <w:rPr>
          <w:rFonts w:cs="Arial"/>
          <w:sz w:val="14"/>
          <w:szCs w:val="14"/>
        </w:rPr>
        <w:t xml:space="preserve"> über, sobald sie den Gewahrsam innehat.</w:t>
      </w:r>
    </w:p>
    <w:p w14:paraId="0B87C2A2" w14:textId="77777777"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cs="Arial"/>
          <w:sz w:val="14"/>
          <w:szCs w:val="14"/>
        </w:rPr>
        <w:t>Der Lieferant trägt die Gefahr des zufälligen Untergangs und der zufälligen Verschlechterung, auch bei "franko"- und "frei Haus"- Lieferungen, bis zur Übergabe der Ware am Bestimmungsort.</w:t>
      </w:r>
    </w:p>
    <w:p w14:paraId="7242712D" w14:textId="6AA0483A"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ascii="EAGKGH+Arial" w:hAnsi="EAGKGH+Arial" w:cs="EAGKGH+Arial"/>
          <w:color w:val="000000"/>
          <w:sz w:val="14"/>
          <w:szCs w:val="14"/>
        </w:rPr>
        <w:t xml:space="preserve">Sowohl Empfangs- /Anlieferadressen als auch zu beachtende Öffnungszeiten der Annahmestelle sind zwingend einzuhalten. </w:t>
      </w:r>
      <w:r w:rsidR="00FB63BD">
        <w:rPr>
          <w:rFonts w:ascii="EAGKGH+Arial" w:hAnsi="EAGKGH+Arial" w:cs="EAGKGH+Arial"/>
          <w:color w:val="000000"/>
          <w:sz w:val="14"/>
          <w:szCs w:val="14"/>
        </w:rPr>
        <w:t>IWK</w:t>
      </w:r>
      <w:r w:rsidRPr="001236D1">
        <w:rPr>
          <w:rFonts w:ascii="EAGKGH+Arial" w:hAnsi="EAGKGH+Arial" w:cs="EAGKGH+Arial"/>
          <w:color w:val="000000"/>
          <w:sz w:val="14"/>
          <w:szCs w:val="14"/>
        </w:rPr>
        <w:t xml:space="preserve"> behält sich vor, die Lieferung nicht anzunehmen und den Camion/Kurier wieder wegzuschicken.</w:t>
      </w:r>
    </w:p>
    <w:p w14:paraId="79FCD19E" w14:textId="7C06AE27" w:rsidR="00B231FB" w:rsidRPr="001236D1" w:rsidRDefault="00FB63BD"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IWK</w:t>
      </w:r>
      <w:r w:rsidR="00B231FB" w:rsidRPr="001236D1">
        <w:rPr>
          <w:rFonts w:ascii="EAGKGH+Arial" w:hAnsi="EAGKGH+Arial" w:cs="EAGKGH+Arial"/>
          <w:color w:val="000000"/>
          <w:sz w:val="14"/>
          <w:szCs w:val="14"/>
        </w:rPr>
        <w:t xml:space="preserve"> behält sich vor, Lieferungen mit mangelhafter Verpackung, Markie</w:t>
      </w:r>
      <w:r w:rsidR="00B231FB" w:rsidRPr="001236D1">
        <w:rPr>
          <w:rFonts w:ascii="EAGKGH+Arial" w:hAnsi="EAGKGH+Arial" w:cs="EAGKGH+Arial"/>
          <w:color w:val="000000"/>
          <w:sz w:val="14"/>
          <w:szCs w:val="14"/>
        </w:rPr>
        <w:softHyphen/>
        <w:t>rung oder Dokumentation sowie nicht schriftlich vereinbarte Teil- oder Voraus</w:t>
      </w:r>
      <w:r w:rsidR="00B231FB" w:rsidRPr="001236D1">
        <w:rPr>
          <w:rFonts w:ascii="EAGKGH+Arial" w:hAnsi="EAGKGH+Arial" w:cs="EAGKGH+Arial"/>
          <w:color w:val="000000"/>
          <w:sz w:val="14"/>
          <w:szCs w:val="14"/>
        </w:rPr>
        <w:softHyphen/>
        <w:t>lieferungen zurückzuweisen oder sie entgegenzunehmen und bis zur ordentli</w:t>
      </w:r>
      <w:r w:rsidR="00B231FB" w:rsidRPr="001236D1">
        <w:rPr>
          <w:rFonts w:ascii="EAGKGH+Arial" w:hAnsi="EAGKGH+Arial" w:cs="EAGKGH+Arial"/>
          <w:color w:val="000000"/>
          <w:sz w:val="14"/>
          <w:szCs w:val="14"/>
        </w:rPr>
        <w:softHyphen/>
        <w:t xml:space="preserve">chen Vertragserfüllung auf Kosten und Gefahr des Lieferanten zu lagern. </w:t>
      </w:r>
    </w:p>
    <w:p w14:paraId="7302876B" w14:textId="77777777"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ascii="EAGKGH+Arial" w:hAnsi="EAGKGH+Arial" w:cs="EAGKGH+Arial"/>
          <w:color w:val="000000"/>
          <w:sz w:val="14"/>
          <w:szCs w:val="14"/>
        </w:rPr>
        <w:t>Die Verpackung muss recyclingfähig sein, damit eine umweltgerechte Entsorgung gewährleistet ist. Andernfalls wird die Entsorgung sowie der Mehrauf</w:t>
      </w:r>
      <w:r w:rsidRPr="001236D1">
        <w:rPr>
          <w:rFonts w:ascii="EAGKGH+Arial" w:hAnsi="EAGKGH+Arial" w:cs="EAGKGH+Arial"/>
          <w:color w:val="000000"/>
          <w:sz w:val="14"/>
          <w:szCs w:val="14"/>
        </w:rPr>
        <w:softHyphen/>
        <w:t>wand dem Lieferanten in Rechnung gestellt.</w:t>
      </w:r>
    </w:p>
    <w:p w14:paraId="4311F8CD" w14:textId="77777777"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ascii="EAGKGH+Arial" w:hAnsi="EAGKGH+Arial" w:cs="EAGKGH+Arial"/>
          <w:color w:val="000000"/>
          <w:sz w:val="14"/>
          <w:szCs w:val="14"/>
        </w:rPr>
        <w:t>Ist eine vertragliche oder behördliche Abnahme oder Eingangskontrolle vorgesehen, so trägt jede Partei die hieraus entstehenden Kosten selbst. Über die durchgeführten Abnahmen oder Eingangskontrollen wird ein Proto</w:t>
      </w:r>
      <w:r w:rsidRPr="001236D1">
        <w:rPr>
          <w:rFonts w:ascii="EAGKGH+Arial" w:hAnsi="EAGKGH+Arial" w:cs="EAGKGH+Arial"/>
          <w:color w:val="000000"/>
          <w:sz w:val="14"/>
          <w:szCs w:val="14"/>
        </w:rPr>
        <w:softHyphen/>
        <w:t>koll erstellt, das von beiden Parteien unterzeichnet wird.</w:t>
      </w:r>
    </w:p>
    <w:p w14:paraId="23829DBA" w14:textId="77777777"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ascii="EAGKGH+Arial" w:hAnsi="EAGKGH+Arial" w:cs="EAGKGH+Arial"/>
          <w:color w:val="000000"/>
          <w:sz w:val="14"/>
          <w:szCs w:val="14"/>
        </w:rPr>
        <w:t>Werden Prüfungen nicht bestanden, so gehen die Kosten, die mit einer neuen Prüfung in direktem Zusammenhang stehen, zulasten des Lieferanten; es sei denn, dieser weise nach, er habe die Gründe nicht zu vertreten.</w:t>
      </w:r>
    </w:p>
    <w:p w14:paraId="64E9A676" w14:textId="77777777"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ascii="EAGKGH+Arial" w:hAnsi="EAGKGH+Arial" w:cs="EAGKGH+Arial"/>
          <w:color w:val="000000"/>
          <w:sz w:val="14"/>
          <w:szCs w:val="14"/>
        </w:rPr>
        <w:t>Zwischenabnahmen lösen keine Gewährleistungsfristen, siehe Punkt 8., aus.</w:t>
      </w:r>
    </w:p>
    <w:p w14:paraId="72A3D80D" w14:textId="77777777" w:rsidR="00B231FB" w:rsidRPr="001236D1"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1236D1">
        <w:rPr>
          <w:rFonts w:ascii="EAGKGF+Arial,Bold" w:hAnsi="EAGKGF+Arial,Bold" w:cs="EAGKGF+Arial,Bold"/>
          <w:b/>
          <w:bCs/>
          <w:color w:val="000000"/>
          <w:sz w:val="14"/>
          <w:szCs w:val="14"/>
        </w:rPr>
        <w:t xml:space="preserve">Erklärungen über Ursprungseigenschaft </w:t>
      </w:r>
    </w:p>
    <w:p w14:paraId="12A46D1A" w14:textId="77777777" w:rsidR="00B231FB" w:rsidRPr="001236D1"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1236D1">
        <w:rPr>
          <w:rFonts w:cs="Helvetica"/>
          <w:sz w:val="14"/>
          <w:szCs w:val="14"/>
        </w:rPr>
        <w:t>Für den Fall, dass der Lieferant Erklärungen über die Ursprungseigenschaft der verkauften Ware abgibt, oder abgeben muss, gilt folgendes:</w:t>
      </w:r>
    </w:p>
    <w:p w14:paraId="48FA3405" w14:textId="77777777" w:rsidR="00B231FB" w:rsidRPr="001236D1" w:rsidRDefault="00B231FB" w:rsidP="00B231FB">
      <w:pPr>
        <w:numPr>
          <w:ilvl w:val="2"/>
          <w:numId w:val="1"/>
        </w:numPr>
        <w:tabs>
          <w:tab w:val="num" w:pos="406"/>
        </w:tabs>
        <w:autoSpaceDE w:val="0"/>
        <w:autoSpaceDN w:val="0"/>
        <w:adjustRightInd w:val="0"/>
        <w:ind w:left="406" w:hanging="56"/>
        <w:jc w:val="both"/>
        <w:rPr>
          <w:rFonts w:ascii="EAGKGH+Arial" w:hAnsi="EAGKGH+Arial" w:cs="EAGKGH+Arial"/>
          <w:color w:val="000000"/>
          <w:sz w:val="14"/>
          <w:szCs w:val="14"/>
        </w:rPr>
      </w:pPr>
      <w:r w:rsidRPr="001236D1">
        <w:rPr>
          <w:rFonts w:cs="Helvetica"/>
          <w:sz w:val="14"/>
          <w:szCs w:val="14"/>
        </w:rPr>
        <w:t>Der Lieferant verpflichtet sich, die Überprüfung der Ursprungsnachweise durch die Zollverwaltung zu ermöglichen und sowohl die dazu notwendigen Auskünfte zu erteilen als auch erforderliche Bestätigungen auf sämtlichen Belegen und Dokumenten beizubringen.</w:t>
      </w:r>
    </w:p>
    <w:p w14:paraId="41AA78C9" w14:textId="77777777" w:rsidR="00B231FB" w:rsidRDefault="00B231FB" w:rsidP="000E5D76">
      <w:pPr>
        <w:numPr>
          <w:ilvl w:val="2"/>
          <w:numId w:val="1"/>
        </w:numPr>
        <w:tabs>
          <w:tab w:val="num" w:pos="406"/>
        </w:tabs>
        <w:autoSpaceDE w:val="0"/>
        <w:autoSpaceDN w:val="0"/>
        <w:adjustRightInd w:val="0"/>
        <w:ind w:left="409" w:hanging="57"/>
        <w:jc w:val="both"/>
        <w:rPr>
          <w:rFonts w:ascii="EAGKGH+Arial" w:hAnsi="EAGKGH+Arial" w:cs="EAGKGH+Arial"/>
          <w:color w:val="000000"/>
          <w:sz w:val="14"/>
          <w:szCs w:val="14"/>
        </w:rPr>
      </w:pPr>
      <w:r>
        <w:rPr>
          <w:rFonts w:cs="Helvetica"/>
          <w:sz w:val="14"/>
          <w:szCs w:val="14"/>
        </w:rPr>
        <w:t>Der Lieferant ist verpflichtet, den Schaden zu ersetzen, der dadurch ent</w:t>
      </w:r>
      <w:r>
        <w:rPr>
          <w:rFonts w:cs="Helvetica"/>
          <w:sz w:val="14"/>
          <w:szCs w:val="14"/>
        </w:rPr>
        <w:softHyphen/>
        <w:t>steht, dass der erklärte Ursprung infolge fehlerhafter Bescheinigung oder fehlender Nachprüfungsmöglichkeit von der zuständigen Behörde nicht an</w:t>
      </w:r>
      <w:r>
        <w:rPr>
          <w:rFonts w:cs="Helvetica"/>
          <w:sz w:val="14"/>
          <w:szCs w:val="14"/>
        </w:rPr>
        <w:softHyphen/>
        <w:t>erkannt wird. Diese Haftung trifft den Lieferanten jedoch nur bei schuldhaf</w:t>
      </w:r>
      <w:r>
        <w:rPr>
          <w:rFonts w:cs="Helvetica"/>
          <w:sz w:val="14"/>
          <w:szCs w:val="14"/>
        </w:rPr>
        <w:softHyphen/>
        <w:t>tem Verhalten oder beim Fehlen einer zugesicherten Eigenschaft.</w:t>
      </w:r>
    </w:p>
    <w:p w14:paraId="43E8901C" w14:textId="77777777" w:rsidR="00B231FB"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Pr>
          <w:rFonts w:ascii="EAGKGF+Arial,Bold" w:hAnsi="EAGKGF+Arial,Bold" w:cs="EAGKGF+Arial,Bold"/>
          <w:b/>
          <w:bCs/>
          <w:color w:val="000000"/>
          <w:sz w:val="14"/>
          <w:szCs w:val="14"/>
        </w:rPr>
        <w:t xml:space="preserve">Verzug </w:t>
      </w:r>
    </w:p>
    <w:p w14:paraId="4BED5AE3" w14:textId="6F7AC76B" w:rsidR="00B231FB"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Vereinbarte Liefertermine und -fristen sind verbindlich. Der Lieferant hat die Pflicht, drohenden oder erkennbaren Verzögerungen unverzüglich entgegen</w:t>
      </w:r>
      <w:r>
        <w:rPr>
          <w:rFonts w:ascii="EAGKGH+Arial" w:hAnsi="EAGKGH+Arial" w:cs="EAGKGH+Arial"/>
          <w:color w:val="000000"/>
          <w:sz w:val="14"/>
          <w:szCs w:val="14"/>
        </w:rPr>
        <w:softHyphen/>
        <w:t xml:space="preserve">zuwirken und </w:t>
      </w:r>
      <w:r w:rsidR="00FB63BD">
        <w:rPr>
          <w:rFonts w:ascii="EAGKGH+Arial" w:hAnsi="EAGKGH+Arial" w:cs="EAGKGH+Arial"/>
          <w:color w:val="000000"/>
          <w:sz w:val="14"/>
          <w:szCs w:val="14"/>
        </w:rPr>
        <w:t>IWK</w:t>
      </w:r>
      <w:r>
        <w:rPr>
          <w:rFonts w:ascii="EAGKGH+Arial" w:hAnsi="EAGKGH+Arial" w:cs="EAGKGH+Arial"/>
          <w:color w:val="000000"/>
          <w:sz w:val="14"/>
          <w:szCs w:val="14"/>
        </w:rPr>
        <w:t xml:space="preserve"> schr</w:t>
      </w:r>
      <w:r w:rsidR="0075325E">
        <w:rPr>
          <w:rFonts w:ascii="EAGKGH+Arial" w:hAnsi="EAGKGH+Arial" w:cs="EAGKGH+Arial"/>
          <w:color w:val="000000"/>
          <w:sz w:val="14"/>
          <w:szCs w:val="14"/>
        </w:rPr>
        <w:t>iftlich darüber zu informieren.</w:t>
      </w:r>
    </w:p>
    <w:p w14:paraId="6BC492B3"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 xml:space="preserve">Massgebend für die Einhaltung des Liefertermins oder der Lieferfrist ist der Eingang der Ware beim von uns genannten Bestimmungsort bzw. die </w:t>
      </w:r>
      <w:r w:rsidRPr="00C048C5">
        <w:rPr>
          <w:rFonts w:ascii="EAGKGH+Arial" w:hAnsi="EAGKGH+Arial" w:cs="EAGKGH+Arial"/>
          <w:color w:val="000000"/>
          <w:sz w:val="14"/>
          <w:szCs w:val="14"/>
        </w:rPr>
        <w:t>Recht</w:t>
      </w:r>
      <w:r w:rsidRPr="00C048C5">
        <w:rPr>
          <w:rFonts w:ascii="EAGKGH+Arial" w:hAnsi="EAGKGH+Arial" w:cs="EAGKGH+Arial"/>
          <w:color w:val="000000"/>
          <w:sz w:val="14"/>
          <w:szCs w:val="14"/>
        </w:rPr>
        <w:softHyphen/>
        <w:t>zeitigkeit der erfolgten Abnahme.</w:t>
      </w:r>
    </w:p>
    <w:p w14:paraId="6F3CCDDE" w14:textId="23312885" w:rsidR="00B231FB" w:rsidRPr="00C048C5" w:rsidRDefault="00B231FB" w:rsidP="009C4523">
      <w:pPr>
        <w:numPr>
          <w:ilvl w:val="1"/>
          <w:numId w:val="1"/>
        </w:numPr>
        <w:tabs>
          <w:tab w:val="num" w:pos="252"/>
        </w:tabs>
        <w:autoSpaceDE w:val="0"/>
        <w:autoSpaceDN w:val="0"/>
        <w:adjustRightInd w:val="0"/>
        <w:ind w:left="252" w:hanging="252"/>
        <w:jc w:val="both"/>
        <w:rPr>
          <w:rFonts w:cs="Arial"/>
          <w:sz w:val="14"/>
          <w:szCs w:val="14"/>
        </w:rPr>
      </w:pPr>
      <w:r w:rsidRPr="00C048C5">
        <w:rPr>
          <w:rFonts w:cs="Arial"/>
          <w:sz w:val="14"/>
          <w:szCs w:val="14"/>
        </w:rPr>
        <w:t xml:space="preserve">Ist der Lieferant nach einer festgesetzten Nachfrist in Verzug, so kann </w:t>
      </w:r>
      <w:r w:rsidR="00FB63BD">
        <w:rPr>
          <w:rFonts w:cs="Arial"/>
          <w:sz w:val="14"/>
          <w:szCs w:val="14"/>
        </w:rPr>
        <w:t>IWK</w:t>
      </w:r>
      <w:r w:rsidRPr="00C048C5">
        <w:rPr>
          <w:rFonts w:cs="Arial"/>
          <w:sz w:val="14"/>
          <w:szCs w:val="14"/>
        </w:rPr>
        <w:t xml:space="preserve"> immer noch die Vertragserfüllung nebst Konventionalstrafe und Schadener</w:t>
      </w:r>
      <w:r w:rsidRPr="00C048C5">
        <w:rPr>
          <w:rFonts w:cs="Arial"/>
          <w:sz w:val="14"/>
          <w:szCs w:val="14"/>
        </w:rPr>
        <w:softHyphen/>
      </w:r>
      <w:r w:rsidRPr="00C048C5">
        <w:rPr>
          <w:rFonts w:cs="Arial"/>
          <w:sz w:val="14"/>
          <w:szCs w:val="14"/>
        </w:rPr>
        <w:t>satz verlangen, aber auch auf die nachträgliche Leistung verzichten, und ent</w:t>
      </w:r>
      <w:r w:rsidRPr="00C048C5">
        <w:rPr>
          <w:rFonts w:cs="Arial"/>
          <w:sz w:val="14"/>
          <w:szCs w:val="14"/>
        </w:rPr>
        <w:softHyphen/>
        <w:t>weder Ersatz des aus der Nichterfüllung entstandenen Schadens verlangen oder vom Vertrag zurücktreten.</w:t>
      </w:r>
    </w:p>
    <w:p w14:paraId="0AB2ACC5" w14:textId="0F71A25D" w:rsidR="00BC6AC5" w:rsidRPr="00C048C5" w:rsidRDefault="00BC6AC5" w:rsidP="001400F1">
      <w:pPr>
        <w:numPr>
          <w:ilvl w:val="1"/>
          <w:numId w:val="1"/>
        </w:numPr>
        <w:tabs>
          <w:tab w:val="num" w:pos="252"/>
        </w:tabs>
        <w:autoSpaceDE w:val="0"/>
        <w:autoSpaceDN w:val="0"/>
        <w:adjustRightInd w:val="0"/>
        <w:ind w:left="252" w:hanging="252"/>
        <w:jc w:val="both"/>
        <w:rPr>
          <w:rFonts w:cs="Arial"/>
          <w:sz w:val="14"/>
          <w:szCs w:val="14"/>
        </w:rPr>
      </w:pPr>
      <w:r w:rsidRPr="00C048C5">
        <w:rPr>
          <w:rFonts w:cs="Arial"/>
          <w:sz w:val="14"/>
          <w:szCs w:val="14"/>
        </w:rPr>
        <w:t xml:space="preserve">Wird </w:t>
      </w:r>
      <w:r w:rsidR="001400F1" w:rsidRPr="00C048C5">
        <w:rPr>
          <w:rFonts w:cs="Arial"/>
          <w:sz w:val="14"/>
          <w:szCs w:val="14"/>
        </w:rPr>
        <w:t xml:space="preserve">wegen einer vom Lieferanten </w:t>
      </w:r>
      <w:r w:rsidR="009A412C" w:rsidRPr="00C048C5">
        <w:rPr>
          <w:rFonts w:cs="Arial"/>
          <w:sz w:val="14"/>
          <w:szCs w:val="14"/>
        </w:rPr>
        <w:t>zu verantwortende Verzögerung</w:t>
      </w:r>
      <w:r w:rsidR="001400F1" w:rsidRPr="00C048C5">
        <w:rPr>
          <w:rFonts w:cs="Arial"/>
          <w:sz w:val="14"/>
          <w:szCs w:val="14"/>
        </w:rPr>
        <w:t xml:space="preserve"> für die fristgerechte Lieferung </w:t>
      </w:r>
      <w:r w:rsidRPr="00C048C5">
        <w:rPr>
          <w:rFonts w:cs="Arial"/>
          <w:sz w:val="14"/>
          <w:szCs w:val="14"/>
        </w:rPr>
        <w:t xml:space="preserve">ein beschleunigter Transport notwendig (Frachtgut, Schnellgut, etc.), so trägt der Lieferant die zusätzlichen Frachtkosten. </w:t>
      </w:r>
    </w:p>
    <w:p w14:paraId="039AC36F" w14:textId="000BD56F" w:rsidR="00B231FB" w:rsidRPr="00C048C5" w:rsidRDefault="00B231FB" w:rsidP="00B231FB">
      <w:pPr>
        <w:numPr>
          <w:ilvl w:val="1"/>
          <w:numId w:val="1"/>
        </w:numPr>
        <w:tabs>
          <w:tab w:val="num" w:pos="252"/>
        </w:tabs>
        <w:autoSpaceDE w:val="0"/>
        <w:autoSpaceDN w:val="0"/>
        <w:adjustRightInd w:val="0"/>
        <w:ind w:left="252" w:hanging="252"/>
        <w:jc w:val="both"/>
        <w:rPr>
          <w:rFonts w:cs="Arial"/>
          <w:sz w:val="14"/>
          <w:szCs w:val="14"/>
        </w:rPr>
      </w:pPr>
      <w:r w:rsidRPr="00C048C5">
        <w:rPr>
          <w:rFonts w:cs="Arial"/>
          <w:sz w:val="14"/>
          <w:szCs w:val="14"/>
        </w:rPr>
        <w:t xml:space="preserve">Ist </w:t>
      </w:r>
      <w:r w:rsidR="00CF270F" w:rsidRPr="00C048C5">
        <w:rPr>
          <w:rFonts w:cs="Arial"/>
          <w:sz w:val="14"/>
          <w:szCs w:val="14"/>
        </w:rPr>
        <w:t xml:space="preserve">der </w:t>
      </w:r>
      <w:r w:rsidRPr="00C048C5">
        <w:rPr>
          <w:rFonts w:cs="Arial"/>
          <w:sz w:val="14"/>
          <w:szCs w:val="14"/>
        </w:rPr>
        <w:t>Lieferant in Verzug, so schuldet er eine Konventionalstrafe in</w:t>
      </w:r>
      <w:r w:rsidR="008C4B76" w:rsidRPr="00C048C5">
        <w:rPr>
          <w:rFonts w:cs="Arial"/>
          <w:sz w:val="14"/>
          <w:szCs w:val="14"/>
        </w:rPr>
        <w:t xml:space="preserve"> der Höhe von 1</w:t>
      </w:r>
      <w:r w:rsidRPr="00C048C5">
        <w:rPr>
          <w:rFonts w:cs="Arial"/>
          <w:sz w:val="14"/>
          <w:szCs w:val="14"/>
        </w:rPr>
        <w:t>% des Bestellwertes pro angebrochene</w:t>
      </w:r>
      <w:r w:rsidR="00CF270F" w:rsidRPr="00C048C5">
        <w:rPr>
          <w:rFonts w:cs="Arial"/>
          <w:sz w:val="14"/>
          <w:szCs w:val="14"/>
        </w:rPr>
        <w:t>r</w:t>
      </w:r>
      <w:r w:rsidRPr="00C048C5">
        <w:rPr>
          <w:rFonts w:cs="Arial"/>
          <w:sz w:val="14"/>
          <w:szCs w:val="14"/>
        </w:rPr>
        <w:t xml:space="preserve"> Ve</w:t>
      </w:r>
      <w:r w:rsidR="00F153E6" w:rsidRPr="00C048C5">
        <w:rPr>
          <w:rFonts w:cs="Arial"/>
          <w:sz w:val="14"/>
          <w:szCs w:val="14"/>
        </w:rPr>
        <w:t>rspätung</w:t>
      </w:r>
      <w:r w:rsidR="009A412C">
        <w:rPr>
          <w:rFonts w:cs="Arial"/>
          <w:sz w:val="14"/>
          <w:szCs w:val="14"/>
        </w:rPr>
        <w:t>s</w:t>
      </w:r>
      <w:r w:rsidR="00F153E6" w:rsidRPr="00C048C5">
        <w:rPr>
          <w:rFonts w:cs="Arial"/>
          <w:sz w:val="14"/>
          <w:szCs w:val="14"/>
        </w:rPr>
        <w:t>woche</w:t>
      </w:r>
      <w:r w:rsidR="008C4B76" w:rsidRPr="00C048C5">
        <w:rPr>
          <w:rFonts w:cs="Arial"/>
          <w:sz w:val="14"/>
          <w:szCs w:val="14"/>
        </w:rPr>
        <w:t>, höchstens aber 10</w:t>
      </w:r>
      <w:r w:rsidRPr="00C048C5">
        <w:rPr>
          <w:rFonts w:cs="Arial"/>
          <w:sz w:val="14"/>
          <w:szCs w:val="14"/>
        </w:rPr>
        <w:t>% des jeweiligen Bestellwertes. Die Bezahlung der Konventionalstrafe befreit den Lieferanten nicht von seinen vertraglichen Verpflichtungen, sie wird jedoch auf den zu leist</w:t>
      </w:r>
      <w:r w:rsidR="00CF270F" w:rsidRPr="00C048C5">
        <w:rPr>
          <w:rFonts w:cs="Arial"/>
          <w:sz w:val="14"/>
          <w:szCs w:val="14"/>
        </w:rPr>
        <w:t>enden Schadenersatz angerechnet.</w:t>
      </w:r>
    </w:p>
    <w:p w14:paraId="63481FD6" w14:textId="77777777" w:rsidR="00B231FB" w:rsidRPr="00C048C5"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 xml:space="preserve">Rechnung und Zahlung </w:t>
      </w:r>
    </w:p>
    <w:p w14:paraId="60FA3C84" w14:textId="6EB46BF1"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ascii="EAGKGH+Arial" w:hAnsi="EAGKGH+Arial" w:cs="EAGKGH+Arial"/>
          <w:color w:val="000000"/>
          <w:sz w:val="14"/>
          <w:szCs w:val="14"/>
        </w:rPr>
        <w:t xml:space="preserve">Ohne </w:t>
      </w:r>
      <w:r w:rsidR="002C72AA" w:rsidRPr="00C048C5">
        <w:rPr>
          <w:rFonts w:ascii="EAGKGH+Arial" w:hAnsi="EAGKGH+Arial" w:cs="EAGKGH+Arial"/>
          <w:color w:val="000000"/>
          <w:sz w:val="14"/>
          <w:szCs w:val="14"/>
        </w:rPr>
        <w:t>anderslautende</w:t>
      </w:r>
      <w:r w:rsidRPr="00C048C5">
        <w:rPr>
          <w:rFonts w:ascii="EAGKGH+Arial" w:hAnsi="EAGKGH+Arial" w:cs="EAGKGH+Arial"/>
          <w:color w:val="000000"/>
          <w:sz w:val="14"/>
          <w:szCs w:val="14"/>
        </w:rPr>
        <w:t xml:space="preserve"> Abmachungen begleicht </w:t>
      </w:r>
      <w:proofErr w:type="gramStart"/>
      <w:r w:rsidR="00FB63BD">
        <w:rPr>
          <w:rFonts w:ascii="EAGKGH+Arial" w:hAnsi="EAGKGH+Arial" w:cs="EAGKGH+Arial"/>
          <w:color w:val="000000"/>
          <w:sz w:val="14"/>
          <w:szCs w:val="14"/>
        </w:rPr>
        <w:t>IWK</w:t>
      </w:r>
      <w:r w:rsidR="00CF270F" w:rsidRPr="00C048C5">
        <w:rPr>
          <w:rFonts w:ascii="EAGKGH+Arial" w:hAnsi="EAGKGH+Arial" w:cs="EAGKGH+Arial"/>
          <w:color w:val="000000"/>
          <w:sz w:val="14"/>
          <w:szCs w:val="14"/>
        </w:rPr>
        <w:t xml:space="preserve"> Rechnungen</w:t>
      </w:r>
      <w:proofErr w:type="gramEnd"/>
      <w:r w:rsidR="00CF270F" w:rsidRPr="00C048C5">
        <w:rPr>
          <w:rFonts w:ascii="EAGKGH+Arial" w:hAnsi="EAGKGH+Arial" w:cs="EAGKGH+Arial"/>
          <w:color w:val="000000"/>
          <w:sz w:val="14"/>
          <w:szCs w:val="14"/>
        </w:rPr>
        <w:t xml:space="preserve"> inner</w:t>
      </w:r>
      <w:r w:rsidR="00CF270F" w:rsidRPr="00C048C5">
        <w:rPr>
          <w:rFonts w:ascii="EAGKGH+Arial" w:hAnsi="EAGKGH+Arial" w:cs="EAGKGH+Arial"/>
          <w:color w:val="000000"/>
          <w:sz w:val="14"/>
          <w:szCs w:val="14"/>
        </w:rPr>
        <w:softHyphen/>
        <w:t>halb von 6</w:t>
      </w:r>
      <w:r w:rsidRPr="00C048C5">
        <w:rPr>
          <w:rFonts w:ascii="EAGKGH+Arial" w:hAnsi="EAGKGH+Arial" w:cs="EAGKGH+Arial"/>
          <w:color w:val="000000"/>
          <w:sz w:val="14"/>
          <w:szCs w:val="14"/>
        </w:rPr>
        <w:t>0 Tagen netto. Sind die Zahlungsbedingungen des Lieferanten für uns günstiger, gelten diese.</w:t>
      </w:r>
    </w:p>
    <w:p w14:paraId="7AF083BE" w14:textId="77777777" w:rsidR="00B231FB" w:rsidRPr="00C048C5" w:rsidRDefault="00B231FB" w:rsidP="00B231FB">
      <w:pPr>
        <w:numPr>
          <w:ilvl w:val="1"/>
          <w:numId w:val="1"/>
        </w:numPr>
        <w:tabs>
          <w:tab w:val="num" w:pos="252"/>
        </w:tabs>
        <w:autoSpaceDE w:val="0"/>
        <w:autoSpaceDN w:val="0"/>
        <w:adjustRightInd w:val="0"/>
        <w:ind w:left="252" w:hanging="252"/>
        <w:jc w:val="both"/>
        <w:rPr>
          <w:rFonts w:cs="Arial"/>
          <w:color w:val="000000"/>
          <w:sz w:val="14"/>
          <w:szCs w:val="14"/>
        </w:rPr>
      </w:pPr>
      <w:r w:rsidRPr="00C048C5">
        <w:rPr>
          <w:rFonts w:ascii="EAGKGH+Arial" w:hAnsi="EAGKGH+Arial" w:cs="EAGKGH+Arial"/>
          <w:color w:val="000000"/>
          <w:sz w:val="14"/>
          <w:szCs w:val="14"/>
        </w:rPr>
        <w:t xml:space="preserve">Zahlungs- und Skontofristen laufen ab Rechnungseingang, jedoch nicht vor Eingang </w:t>
      </w:r>
      <w:r w:rsidRPr="00C048C5">
        <w:rPr>
          <w:rFonts w:cs="Arial"/>
          <w:color w:val="000000"/>
          <w:sz w:val="14"/>
          <w:szCs w:val="14"/>
        </w:rPr>
        <w:t>der Ware bzw. bei Leistungen nicht vor deren Abnahme und, sofern Dokumentationen oder ähnliche Unterlagen zum Leistungsumfang gehören, nicht vor deren vertragsgemässer Übergabe an uns.</w:t>
      </w:r>
    </w:p>
    <w:p w14:paraId="77FB1086" w14:textId="19FFE560" w:rsidR="00B231FB" w:rsidRPr="00C048C5" w:rsidRDefault="00B231FB" w:rsidP="00B231FB">
      <w:pPr>
        <w:numPr>
          <w:ilvl w:val="1"/>
          <w:numId w:val="1"/>
        </w:numPr>
        <w:tabs>
          <w:tab w:val="num" w:pos="252"/>
        </w:tabs>
        <w:autoSpaceDE w:val="0"/>
        <w:autoSpaceDN w:val="0"/>
        <w:adjustRightInd w:val="0"/>
        <w:ind w:left="252" w:hanging="252"/>
        <w:jc w:val="both"/>
        <w:rPr>
          <w:rFonts w:cs="Arial"/>
          <w:color w:val="000000"/>
          <w:sz w:val="14"/>
          <w:szCs w:val="14"/>
        </w:rPr>
      </w:pPr>
      <w:r w:rsidRPr="00C048C5">
        <w:rPr>
          <w:rFonts w:cs="Arial"/>
          <w:sz w:val="14"/>
          <w:szCs w:val="14"/>
        </w:rPr>
        <w:t xml:space="preserve">Bei mangelhaften Leistungen ist </w:t>
      </w:r>
      <w:r w:rsidR="00FB63BD">
        <w:rPr>
          <w:rFonts w:cs="Arial"/>
          <w:sz w:val="14"/>
          <w:szCs w:val="14"/>
        </w:rPr>
        <w:t>IWK</w:t>
      </w:r>
      <w:r w:rsidRPr="00C048C5">
        <w:rPr>
          <w:rFonts w:cs="Arial"/>
          <w:sz w:val="14"/>
          <w:szCs w:val="14"/>
        </w:rPr>
        <w:t xml:space="preserve"> berechtigt, die Zahlung anteilsmä</w:t>
      </w:r>
      <w:r w:rsidRPr="00C048C5">
        <w:rPr>
          <w:rFonts w:cs="Arial"/>
          <w:sz w:val="14"/>
          <w:szCs w:val="14"/>
        </w:rPr>
        <w:softHyphen/>
        <w:t>ssig bis zur ordnungsgemässen Erfüllung zurückzuhalten</w:t>
      </w:r>
      <w:r w:rsidRPr="00C048C5">
        <w:rPr>
          <w:rFonts w:cs="Arial"/>
          <w:color w:val="000000"/>
          <w:sz w:val="14"/>
          <w:szCs w:val="14"/>
        </w:rPr>
        <w:t xml:space="preserve">. </w:t>
      </w:r>
    </w:p>
    <w:p w14:paraId="75B5D24C" w14:textId="4C398D85" w:rsidR="00B231FB" w:rsidRPr="00C048C5" w:rsidRDefault="00B231FB" w:rsidP="00B231FB">
      <w:pPr>
        <w:numPr>
          <w:ilvl w:val="1"/>
          <w:numId w:val="1"/>
        </w:numPr>
        <w:tabs>
          <w:tab w:val="num" w:pos="252"/>
        </w:tabs>
        <w:autoSpaceDE w:val="0"/>
        <w:autoSpaceDN w:val="0"/>
        <w:adjustRightInd w:val="0"/>
        <w:ind w:left="252" w:hanging="252"/>
        <w:jc w:val="both"/>
        <w:rPr>
          <w:rFonts w:cs="Arial"/>
          <w:color w:val="000000"/>
          <w:sz w:val="14"/>
          <w:szCs w:val="14"/>
        </w:rPr>
      </w:pPr>
      <w:r w:rsidRPr="00C048C5">
        <w:rPr>
          <w:rFonts w:cs="Arial"/>
          <w:sz w:val="14"/>
          <w:szCs w:val="14"/>
        </w:rPr>
        <w:t xml:space="preserve">Anzahlungen an Lieferanten werden nur gegen eine unwiderrufliche und für die </w:t>
      </w:r>
      <w:r w:rsidR="00FB63BD">
        <w:rPr>
          <w:rFonts w:cs="Arial"/>
          <w:sz w:val="14"/>
          <w:szCs w:val="14"/>
        </w:rPr>
        <w:t>IWK</w:t>
      </w:r>
      <w:r w:rsidRPr="00C048C5">
        <w:rPr>
          <w:rFonts w:cs="Arial"/>
          <w:sz w:val="14"/>
          <w:szCs w:val="14"/>
        </w:rPr>
        <w:t xml:space="preserve"> kostenlose Bankgarantie geleistet.</w:t>
      </w:r>
    </w:p>
    <w:p w14:paraId="5B51A3EB" w14:textId="77777777" w:rsidR="00B231FB" w:rsidRPr="00C048C5"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Gewährleistung und Garantie</w:t>
      </w:r>
    </w:p>
    <w:p w14:paraId="660A6761"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cs="Arial"/>
          <w:sz w:val="14"/>
          <w:szCs w:val="14"/>
        </w:rPr>
        <w:t>Die Garantie- und Gewährleistungsfrist beträgt 24</w:t>
      </w:r>
      <w:r w:rsidR="00166680" w:rsidRPr="00C048C5">
        <w:rPr>
          <w:rFonts w:cs="Arial"/>
          <w:sz w:val="14"/>
          <w:szCs w:val="14"/>
        </w:rPr>
        <w:t xml:space="preserve"> Monate ab Inbetrieb</w:t>
      </w:r>
      <w:r w:rsidR="00166680" w:rsidRPr="00C048C5">
        <w:rPr>
          <w:rFonts w:cs="Arial"/>
          <w:sz w:val="14"/>
          <w:szCs w:val="14"/>
        </w:rPr>
        <w:softHyphen/>
        <w:t xml:space="preserve">nahme, </w:t>
      </w:r>
      <w:r w:rsidRPr="00C048C5">
        <w:rPr>
          <w:rFonts w:cs="Arial"/>
          <w:sz w:val="14"/>
          <w:szCs w:val="14"/>
        </w:rPr>
        <w:t>Verwendung</w:t>
      </w:r>
      <w:r w:rsidR="00166680" w:rsidRPr="00C048C5">
        <w:rPr>
          <w:rFonts w:cs="Arial"/>
          <w:sz w:val="14"/>
          <w:szCs w:val="14"/>
        </w:rPr>
        <w:t xml:space="preserve"> oder Abnahme durch einen Endkunden</w:t>
      </w:r>
      <w:r w:rsidR="00FC5C92" w:rsidRPr="00C048C5">
        <w:rPr>
          <w:rFonts w:cs="Arial"/>
          <w:sz w:val="14"/>
          <w:szCs w:val="14"/>
        </w:rPr>
        <w:t>, die Frist beginnt immer ab dem spätesten Termin</w:t>
      </w:r>
      <w:r w:rsidR="00166680" w:rsidRPr="00C048C5">
        <w:rPr>
          <w:rFonts w:cs="Arial"/>
          <w:sz w:val="14"/>
          <w:szCs w:val="14"/>
        </w:rPr>
        <w:t>,</w:t>
      </w:r>
      <w:r w:rsidR="00FC5C92" w:rsidRPr="00C048C5">
        <w:rPr>
          <w:rFonts w:cs="Arial"/>
          <w:sz w:val="14"/>
          <w:szCs w:val="14"/>
        </w:rPr>
        <w:t xml:space="preserve"> spätestens aber</w:t>
      </w:r>
      <w:r w:rsidRPr="00C048C5">
        <w:rPr>
          <w:rFonts w:cs="Arial"/>
          <w:sz w:val="14"/>
          <w:szCs w:val="14"/>
        </w:rPr>
        <w:t xml:space="preserve"> 36 Monate nach Anlieferung des Produkts, es sei denn, dass der Lieferant eine längere Garantie übernimmt.</w:t>
      </w:r>
    </w:p>
    <w:p w14:paraId="382CDB7E"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cs="Arial"/>
          <w:sz w:val="14"/>
          <w:szCs w:val="14"/>
        </w:rPr>
        <w:t>Versteckte Mängel können auch nach Ablauf der Gewährleistungsfrist unver</w:t>
      </w:r>
      <w:r w:rsidRPr="00C048C5">
        <w:rPr>
          <w:rFonts w:cs="Arial"/>
          <w:sz w:val="14"/>
          <w:szCs w:val="14"/>
        </w:rPr>
        <w:softHyphen/>
        <w:t>züglich nach ihrer Entdeckung geltend gemacht werden, jedoch spätestens 5 Jahre nach der Abnahme.</w:t>
      </w:r>
    </w:p>
    <w:p w14:paraId="2BED2FCA" w14:textId="4B5A58DD"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ascii="EAGKGH+Arial" w:hAnsi="EAGKGH+Arial" w:cs="EAGKGH+Arial"/>
          <w:color w:val="000000"/>
          <w:sz w:val="14"/>
          <w:szCs w:val="14"/>
        </w:rPr>
        <w:t xml:space="preserve">Die sofortige Prüf- und Rügepflicht des Bestellers nach OR Art. 201 wird wegbedungen. </w:t>
      </w:r>
      <w:r w:rsidR="00FB63BD">
        <w:rPr>
          <w:rFonts w:ascii="EAGKGH+Arial" w:hAnsi="EAGKGH+Arial" w:cs="EAGKGH+Arial"/>
          <w:color w:val="000000"/>
          <w:sz w:val="14"/>
          <w:szCs w:val="14"/>
        </w:rPr>
        <w:t>IWK</w:t>
      </w:r>
      <w:r w:rsidRPr="00C048C5">
        <w:rPr>
          <w:rFonts w:ascii="EAGKGH+Arial" w:hAnsi="EAGKGH+Arial" w:cs="EAGKGH+Arial"/>
          <w:color w:val="000000"/>
          <w:sz w:val="14"/>
          <w:szCs w:val="14"/>
        </w:rPr>
        <w:t xml:space="preserve"> kann während der ganzen Gewährleistungsfrist Män</w:t>
      </w:r>
      <w:r w:rsidRPr="00C048C5">
        <w:rPr>
          <w:rFonts w:ascii="EAGKGH+Arial" w:hAnsi="EAGKGH+Arial" w:cs="EAGKGH+Arial"/>
          <w:color w:val="000000"/>
          <w:sz w:val="14"/>
          <w:szCs w:val="14"/>
        </w:rPr>
        <w:softHyphen/>
        <w:t>gelrüge erheben.</w:t>
      </w:r>
    </w:p>
    <w:p w14:paraId="454F2901" w14:textId="60FC3EEA"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cs="Arial"/>
          <w:sz w:val="14"/>
          <w:szCs w:val="14"/>
        </w:rPr>
        <w:t xml:space="preserve">Im Garantiefall kann die </w:t>
      </w:r>
      <w:r w:rsidR="00FB63BD">
        <w:rPr>
          <w:rFonts w:cs="Arial"/>
          <w:sz w:val="14"/>
          <w:szCs w:val="14"/>
        </w:rPr>
        <w:t>IWK</w:t>
      </w:r>
      <w:r w:rsidRPr="00C048C5">
        <w:rPr>
          <w:rFonts w:cs="Arial"/>
          <w:sz w:val="14"/>
          <w:szCs w:val="14"/>
        </w:rPr>
        <w:t xml:space="preserve"> vom Lieferant</w:t>
      </w:r>
      <w:r w:rsidR="009A412C">
        <w:rPr>
          <w:rFonts w:cs="Arial"/>
          <w:sz w:val="14"/>
          <w:szCs w:val="14"/>
        </w:rPr>
        <w:t>en</w:t>
      </w:r>
      <w:r w:rsidRPr="00C048C5">
        <w:rPr>
          <w:rFonts w:cs="Arial"/>
          <w:sz w:val="14"/>
          <w:szCs w:val="14"/>
        </w:rPr>
        <w:t xml:space="preserve"> die unentgeltliche Nachbesse</w:t>
      </w:r>
      <w:r w:rsidRPr="00C048C5">
        <w:rPr>
          <w:rFonts w:cs="Arial"/>
          <w:sz w:val="14"/>
          <w:szCs w:val="14"/>
        </w:rPr>
        <w:softHyphen/>
        <w:t xml:space="preserve">rung oder eine Ersatzlieferung sowie allfällig entstandene Kosten fordern. </w:t>
      </w:r>
    </w:p>
    <w:p w14:paraId="08E4F64A"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cs="Arial"/>
          <w:sz w:val="14"/>
          <w:szCs w:val="14"/>
        </w:rPr>
        <w:t>F</w:t>
      </w:r>
      <w:r w:rsidRPr="00C048C5">
        <w:rPr>
          <w:rFonts w:ascii="EAGKGH+Arial" w:hAnsi="EAGKGH+Arial" w:cs="EAGKGH+Arial"/>
          <w:color w:val="000000"/>
          <w:sz w:val="14"/>
          <w:szCs w:val="14"/>
        </w:rPr>
        <w:t>ür ersetzte oder reparierte Teile beginnt die Gewährleistungsfrist mit deren Lieferung neu. Die Gewährleistung schliesst tatsächliche oder rechtliche Mängel des Gegenstandes sowie das Fehlen zugesicherter oder vorausge</w:t>
      </w:r>
      <w:r w:rsidRPr="00C048C5">
        <w:rPr>
          <w:rFonts w:ascii="EAGKGH+Arial" w:hAnsi="EAGKGH+Arial" w:cs="EAGKGH+Arial"/>
          <w:color w:val="000000"/>
          <w:sz w:val="14"/>
          <w:szCs w:val="14"/>
        </w:rPr>
        <w:softHyphen/>
        <w:t>setzter Eigenschaften ein.</w:t>
      </w:r>
    </w:p>
    <w:p w14:paraId="52C93013" w14:textId="77777777" w:rsidR="00B231FB" w:rsidRPr="00C048C5"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 xml:space="preserve">Haftung </w:t>
      </w:r>
    </w:p>
    <w:p w14:paraId="0B4635C7" w14:textId="767C8F68"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ascii="Helvetica" w:hAnsi="Helvetica" w:cs="Helvetica"/>
          <w:sz w:val="14"/>
          <w:szCs w:val="14"/>
        </w:rPr>
        <w:t>Der Lieferant hat uns die Lieferung und Leistung frei von Sach- und Rechts</w:t>
      </w:r>
      <w:r w:rsidRPr="00C048C5">
        <w:rPr>
          <w:rFonts w:ascii="Helvetica" w:hAnsi="Helvetica" w:cs="Helvetica"/>
          <w:sz w:val="14"/>
          <w:szCs w:val="14"/>
        </w:rPr>
        <w:softHyphen/>
        <w:t xml:space="preserve">mängeln zu verschaffen. Er hat uns insbesondere dafür einzustehen, dass diese den anerkannten Regeln der Technik und den vertraglich vereinbarten und zugesicherten Eigenschaften, Normen sowie </w:t>
      </w:r>
      <w:r w:rsidRPr="001236D1">
        <w:rPr>
          <w:rFonts w:ascii="Helvetica" w:hAnsi="Helvetica" w:cs="Helvetica"/>
          <w:sz w:val="14"/>
          <w:szCs w:val="14"/>
        </w:rPr>
        <w:t xml:space="preserve">den </w:t>
      </w:r>
      <w:r w:rsidR="00D21CA7" w:rsidRPr="001236D1">
        <w:rPr>
          <w:rFonts w:ascii="Helvetica" w:hAnsi="Helvetica" w:cs="Helvetica"/>
          <w:sz w:val="14"/>
          <w:szCs w:val="14"/>
        </w:rPr>
        <w:t>Umweltschutz-,</w:t>
      </w:r>
      <w:r w:rsidR="00D21CA7">
        <w:rPr>
          <w:rFonts w:ascii="Helvetica" w:hAnsi="Helvetica" w:cs="Helvetica"/>
          <w:sz w:val="14"/>
          <w:szCs w:val="14"/>
        </w:rPr>
        <w:t xml:space="preserve"> </w:t>
      </w:r>
      <w:r w:rsidRPr="00C048C5">
        <w:rPr>
          <w:rFonts w:ascii="Helvetica" w:hAnsi="Helvetica" w:cs="Helvetica"/>
          <w:sz w:val="14"/>
          <w:szCs w:val="14"/>
        </w:rPr>
        <w:t>Sicherheits-, Arbeits</w:t>
      </w:r>
      <w:r w:rsidRPr="00C048C5">
        <w:rPr>
          <w:rFonts w:ascii="Helvetica" w:hAnsi="Helvetica" w:cs="Helvetica"/>
          <w:sz w:val="14"/>
          <w:szCs w:val="14"/>
        </w:rPr>
        <w:softHyphen/>
        <w:t>schutz-, Unfallverhütungs- und sonstigen Vorschriften entsprechen</w:t>
      </w:r>
      <w:r w:rsidR="001236D1">
        <w:rPr>
          <w:rFonts w:ascii="Helvetica" w:hAnsi="Helvetica" w:cs="Helvetica"/>
          <w:sz w:val="14"/>
          <w:szCs w:val="14"/>
        </w:rPr>
        <w:t>.</w:t>
      </w:r>
    </w:p>
    <w:p w14:paraId="1F89C3D9" w14:textId="7A821B0D" w:rsidR="002F1571" w:rsidRPr="00C048C5" w:rsidRDefault="002F1571" w:rsidP="0015440A">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ascii="EAGKGH+Arial" w:hAnsi="EAGKGH+Arial" w:cs="EAGKGH+Arial"/>
          <w:color w:val="000000"/>
          <w:sz w:val="14"/>
          <w:szCs w:val="14"/>
        </w:rPr>
        <w:t xml:space="preserve">Der Lieferant wird </w:t>
      </w:r>
      <w:r w:rsidR="00FB63BD">
        <w:rPr>
          <w:rFonts w:ascii="EAGKGH+Arial" w:hAnsi="EAGKGH+Arial" w:cs="EAGKGH+Arial"/>
          <w:color w:val="000000"/>
          <w:sz w:val="14"/>
          <w:szCs w:val="14"/>
        </w:rPr>
        <w:t>IWK</w:t>
      </w:r>
      <w:r w:rsidRPr="00C048C5">
        <w:rPr>
          <w:rFonts w:ascii="EAGKGH+Arial" w:hAnsi="EAGKGH+Arial" w:cs="EAGKGH+Arial"/>
          <w:color w:val="000000"/>
          <w:sz w:val="14"/>
          <w:szCs w:val="14"/>
        </w:rPr>
        <w:t xml:space="preserve"> bei der </w:t>
      </w:r>
      <w:r w:rsidR="0015440A" w:rsidRPr="00C048C5">
        <w:rPr>
          <w:rFonts w:ascii="EAGKGH+Arial" w:hAnsi="EAGKGH+Arial" w:cs="EAGKGH+Arial"/>
          <w:color w:val="000000"/>
          <w:sz w:val="14"/>
          <w:szCs w:val="14"/>
        </w:rPr>
        <w:t xml:space="preserve">Abwehr von Ansprüchen Dritter wegen Sach- oder Rechtsmängeln </w:t>
      </w:r>
      <w:r w:rsidRPr="00C048C5">
        <w:rPr>
          <w:rFonts w:ascii="EAGKGH+Arial" w:hAnsi="EAGKGH+Arial" w:cs="EAGKGH+Arial"/>
          <w:color w:val="000000"/>
          <w:sz w:val="14"/>
          <w:szCs w:val="14"/>
        </w:rPr>
        <w:t xml:space="preserve">unterstützen und </w:t>
      </w:r>
      <w:r w:rsidR="00FB63BD">
        <w:rPr>
          <w:rFonts w:ascii="EAGKGH+Arial" w:hAnsi="EAGKGH+Arial" w:cs="EAGKGH+Arial"/>
          <w:color w:val="000000"/>
          <w:sz w:val="14"/>
          <w:szCs w:val="14"/>
        </w:rPr>
        <w:t>IWK</w:t>
      </w:r>
      <w:r w:rsidRPr="00C048C5">
        <w:rPr>
          <w:rFonts w:ascii="EAGKGH+Arial" w:hAnsi="EAGKGH+Arial" w:cs="EAGKGH+Arial"/>
          <w:color w:val="000000"/>
          <w:sz w:val="14"/>
          <w:szCs w:val="14"/>
        </w:rPr>
        <w:t xml:space="preserve"> v</w:t>
      </w:r>
      <w:r w:rsidR="0015440A" w:rsidRPr="00C048C5">
        <w:rPr>
          <w:rFonts w:ascii="EAGKGH+Arial" w:hAnsi="EAGKGH+Arial" w:cs="EAGKGH+Arial"/>
          <w:color w:val="000000"/>
          <w:sz w:val="14"/>
          <w:szCs w:val="14"/>
        </w:rPr>
        <w:t xml:space="preserve">on solchen Ansprüchen, </w:t>
      </w:r>
      <w:r w:rsidRPr="00C048C5">
        <w:rPr>
          <w:rFonts w:ascii="EAGKGH+Arial" w:hAnsi="EAGKGH+Arial" w:cs="EAGKGH+Arial"/>
          <w:color w:val="000000"/>
          <w:sz w:val="14"/>
          <w:szCs w:val="14"/>
        </w:rPr>
        <w:t xml:space="preserve">Kosten einer </w:t>
      </w:r>
      <w:r w:rsidR="0015440A" w:rsidRPr="00C048C5">
        <w:rPr>
          <w:rFonts w:ascii="EAGKGH+Arial" w:hAnsi="EAGKGH+Arial" w:cs="EAGKGH+Arial"/>
          <w:color w:val="000000"/>
          <w:sz w:val="14"/>
          <w:szCs w:val="14"/>
        </w:rPr>
        <w:t xml:space="preserve">allfälligen </w:t>
      </w:r>
      <w:r w:rsidRPr="00C048C5">
        <w:rPr>
          <w:rFonts w:ascii="EAGKGH+Arial" w:hAnsi="EAGKGH+Arial" w:cs="EAGKGH+Arial"/>
          <w:color w:val="000000"/>
          <w:sz w:val="14"/>
          <w:szCs w:val="14"/>
        </w:rPr>
        <w:t>Rückrufaktion</w:t>
      </w:r>
      <w:r w:rsidR="0015440A" w:rsidRPr="00C048C5">
        <w:rPr>
          <w:rFonts w:ascii="EAGKGH+Arial" w:hAnsi="EAGKGH+Arial" w:cs="EAGKGH+Arial"/>
          <w:color w:val="000000"/>
          <w:sz w:val="14"/>
          <w:szCs w:val="14"/>
        </w:rPr>
        <w:t xml:space="preserve"> und dergleichen und inkl. angemessen Entschädigung für Anwalts- und Gerichtskosten</w:t>
      </w:r>
      <w:r w:rsidRPr="00C048C5">
        <w:rPr>
          <w:rFonts w:ascii="EAGKGH+Arial" w:hAnsi="EAGKGH+Arial" w:cs="EAGKGH+Arial"/>
          <w:color w:val="000000"/>
          <w:sz w:val="14"/>
          <w:szCs w:val="14"/>
        </w:rPr>
        <w:t xml:space="preserve"> freistellen.</w:t>
      </w:r>
    </w:p>
    <w:p w14:paraId="032B2A49" w14:textId="65FCC099" w:rsidR="00B231FB" w:rsidRPr="00C048C5" w:rsidRDefault="00B231FB" w:rsidP="0015440A">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ascii="EAGKGH+Arial" w:hAnsi="EAGKGH+Arial" w:cs="EAGKGH+Arial"/>
          <w:color w:val="000000"/>
          <w:sz w:val="14"/>
          <w:szCs w:val="14"/>
        </w:rPr>
        <w:t xml:space="preserve">Der Lieferant stellt </w:t>
      </w:r>
      <w:r w:rsidR="00FB63BD">
        <w:rPr>
          <w:rFonts w:ascii="EAGKGH+Arial" w:hAnsi="EAGKGH+Arial" w:cs="EAGKGH+Arial"/>
          <w:color w:val="000000"/>
          <w:sz w:val="14"/>
          <w:szCs w:val="14"/>
        </w:rPr>
        <w:t>IWK</w:t>
      </w:r>
      <w:r w:rsidRPr="00C048C5">
        <w:rPr>
          <w:rFonts w:ascii="EAGKGH+Arial" w:hAnsi="EAGKGH+Arial" w:cs="EAGKGH+Arial"/>
          <w:color w:val="000000"/>
          <w:sz w:val="14"/>
          <w:szCs w:val="14"/>
        </w:rPr>
        <w:t xml:space="preserve"> von sämtlichen mit der Lieferung oder Leistung</w:t>
      </w:r>
      <w:r w:rsidR="004B5C97" w:rsidRPr="00C048C5">
        <w:rPr>
          <w:rFonts w:ascii="EAGKGH+Arial" w:hAnsi="EAGKGH+Arial" w:cs="EAGKGH+Arial"/>
          <w:color w:val="000000"/>
          <w:sz w:val="14"/>
          <w:szCs w:val="14"/>
        </w:rPr>
        <w:t xml:space="preserve"> </w:t>
      </w:r>
      <w:r w:rsidRPr="00C048C5">
        <w:rPr>
          <w:rFonts w:ascii="EAGKGH+Arial" w:hAnsi="EAGKGH+Arial" w:cs="EAGKGH+Arial"/>
          <w:color w:val="000000"/>
          <w:sz w:val="14"/>
          <w:szCs w:val="14"/>
        </w:rPr>
        <w:t xml:space="preserve">zusammenhängenden Ansprüchen Dritter aus Produkthaftung, Umweltschutz und Schutz geistigen Eigentums frei und hält </w:t>
      </w:r>
      <w:r w:rsidR="00FB63BD">
        <w:rPr>
          <w:rFonts w:ascii="EAGKGH+Arial" w:hAnsi="EAGKGH+Arial" w:cs="EAGKGH+Arial"/>
          <w:color w:val="000000"/>
          <w:sz w:val="14"/>
          <w:szCs w:val="14"/>
        </w:rPr>
        <w:t>IWK</w:t>
      </w:r>
      <w:r w:rsidRPr="00C048C5">
        <w:rPr>
          <w:rFonts w:ascii="EAGKGH+Arial" w:hAnsi="EAGKGH+Arial" w:cs="EAGKGH+Arial"/>
          <w:color w:val="000000"/>
          <w:sz w:val="14"/>
          <w:szCs w:val="14"/>
        </w:rPr>
        <w:t xml:space="preserve"> vollumfänglich schadlos. </w:t>
      </w:r>
      <w:r w:rsidR="00FB63BD">
        <w:rPr>
          <w:rFonts w:ascii="EAGKGH+Arial" w:hAnsi="EAGKGH+Arial" w:cs="EAGKGH+Arial"/>
          <w:color w:val="000000"/>
          <w:sz w:val="14"/>
          <w:szCs w:val="14"/>
        </w:rPr>
        <w:t>IWK</w:t>
      </w:r>
      <w:r w:rsidRPr="00C048C5">
        <w:rPr>
          <w:rFonts w:ascii="EAGKGH+Arial" w:hAnsi="EAGKGH+Arial" w:cs="EAGKGH+Arial"/>
          <w:color w:val="000000"/>
          <w:sz w:val="14"/>
          <w:szCs w:val="14"/>
        </w:rPr>
        <w:t xml:space="preserve"> ist verpflichtet, den Lieferanten über Ansprüche, die gegenüber </w:t>
      </w:r>
      <w:r w:rsidR="00FB63BD">
        <w:rPr>
          <w:rFonts w:ascii="EAGKGH+Arial" w:hAnsi="EAGKGH+Arial" w:cs="EAGKGH+Arial"/>
          <w:color w:val="000000"/>
          <w:sz w:val="14"/>
          <w:szCs w:val="14"/>
        </w:rPr>
        <w:t>IWK</w:t>
      </w:r>
      <w:r w:rsidRPr="00C048C5">
        <w:rPr>
          <w:rFonts w:ascii="EAGKGH+Arial" w:hAnsi="EAGKGH+Arial" w:cs="EAGKGH+Arial"/>
          <w:color w:val="000000"/>
          <w:sz w:val="14"/>
          <w:szCs w:val="14"/>
        </w:rPr>
        <w:t xml:space="preserve"> substantiiert geltend gemacht wurden, unverzüglich zu informieren. </w:t>
      </w:r>
    </w:p>
    <w:p w14:paraId="2A01ECD1" w14:textId="77777777" w:rsidR="00B231FB" w:rsidRPr="00C048C5"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 xml:space="preserve">Ersatzteile </w:t>
      </w:r>
    </w:p>
    <w:p w14:paraId="26E6CD8B"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cs="Arial"/>
          <w:sz w:val="14"/>
          <w:szCs w:val="14"/>
        </w:rPr>
        <w:t>Der Lieferant ist verpflichtet, Ersatzteile für den Zeitraum der voraussichtlichen Nutzung, mindestens jedoch 10 Jahre lang nach der Lieferung zu angemesse</w:t>
      </w:r>
      <w:r w:rsidRPr="00C048C5">
        <w:rPr>
          <w:rFonts w:cs="Arial"/>
          <w:sz w:val="14"/>
          <w:szCs w:val="14"/>
        </w:rPr>
        <w:softHyphen/>
        <w:t>nen Bedingungen zu liefern.</w:t>
      </w:r>
    </w:p>
    <w:p w14:paraId="7F682023" w14:textId="3C2250EE"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cs="Arial"/>
          <w:sz w:val="14"/>
          <w:szCs w:val="14"/>
        </w:rPr>
        <w:t xml:space="preserve">Stellt der Lieferant oder dessen Zulieferfirma die Fertigung der Ersatzteile ein, so ist er verpflichtet, der </w:t>
      </w:r>
      <w:r w:rsidR="00FB63BD">
        <w:rPr>
          <w:rFonts w:cs="Arial"/>
          <w:sz w:val="14"/>
          <w:szCs w:val="14"/>
        </w:rPr>
        <w:t>IWK</w:t>
      </w:r>
      <w:r w:rsidRPr="00C048C5">
        <w:rPr>
          <w:rFonts w:cs="Arial"/>
          <w:sz w:val="14"/>
          <w:szCs w:val="14"/>
        </w:rPr>
        <w:t xml:space="preserve"> rechtzeitig zu informieren und Gelegenheit zu einer letzten Bestellung in genügender Menge zu geben. </w:t>
      </w:r>
    </w:p>
    <w:p w14:paraId="58A5EC54" w14:textId="0A03EAB7"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cs="Arial"/>
          <w:sz w:val="14"/>
          <w:szCs w:val="14"/>
        </w:rPr>
        <w:t xml:space="preserve">Andernfalls ist </w:t>
      </w:r>
      <w:r w:rsidR="00FB63BD">
        <w:rPr>
          <w:rFonts w:cs="Arial"/>
          <w:sz w:val="14"/>
          <w:szCs w:val="14"/>
        </w:rPr>
        <w:t>IWK</w:t>
      </w:r>
      <w:r w:rsidRPr="00C048C5">
        <w:rPr>
          <w:rFonts w:cs="Arial"/>
          <w:sz w:val="14"/>
          <w:szCs w:val="14"/>
        </w:rPr>
        <w:t xml:space="preserve"> berechtigt, die Ersatzteile auf Kosten des Lieferanten anderweitig einzukaufen, es sei denn, </w:t>
      </w:r>
      <w:r w:rsidR="00FB63BD">
        <w:rPr>
          <w:rFonts w:cs="Arial"/>
          <w:sz w:val="14"/>
          <w:szCs w:val="14"/>
        </w:rPr>
        <w:t>IWK</w:t>
      </w:r>
      <w:r w:rsidRPr="00C048C5">
        <w:rPr>
          <w:rFonts w:cs="Arial"/>
          <w:sz w:val="14"/>
          <w:szCs w:val="14"/>
        </w:rPr>
        <w:t xml:space="preserve"> wird eine Alternative angebo</w:t>
      </w:r>
      <w:r w:rsidRPr="00C048C5">
        <w:rPr>
          <w:rFonts w:cs="Arial"/>
          <w:sz w:val="14"/>
          <w:szCs w:val="14"/>
        </w:rPr>
        <w:softHyphen/>
        <w:t>ten, welche die Eigenschaften, Spezifikationen und Preis des vorherigen Pro</w:t>
      </w:r>
      <w:r w:rsidRPr="00C048C5">
        <w:rPr>
          <w:rFonts w:cs="Arial"/>
          <w:sz w:val="14"/>
          <w:szCs w:val="14"/>
        </w:rPr>
        <w:softHyphen/>
        <w:t>duktes entspricht und vollumfänglich ersetzt</w:t>
      </w:r>
      <w:r w:rsidRPr="00C048C5">
        <w:rPr>
          <w:rFonts w:ascii="Helvetica" w:hAnsi="Helvetica" w:cs="Helvetica"/>
          <w:sz w:val="14"/>
          <w:szCs w:val="14"/>
        </w:rPr>
        <w:t xml:space="preserve"> </w:t>
      </w:r>
    </w:p>
    <w:p w14:paraId="7068380A" w14:textId="77777777" w:rsidR="00B231FB" w:rsidRPr="00C048C5"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 xml:space="preserve">Urheberrecht und Geheimhaltung </w:t>
      </w:r>
    </w:p>
    <w:p w14:paraId="693ADC8E"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sidRPr="00C048C5">
        <w:rPr>
          <w:rFonts w:ascii="Helvetica" w:hAnsi="Helvetica" w:cs="Helvetica"/>
          <w:sz w:val="14"/>
          <w:szCs w:val="14"/>
        </w:rPr>
        <w:t>Von uns beigestellte oder für uns angefertigte Werkzeuge, Modelle, Zeichnun</w:t>
      </w:r>
      <w:r w:rsidRPr="00C048C5">
        <w:rPr>
          <w:rFonts w:ascii="Helvetica" w:hAnsi="Helvetica" w:cs="Helvetica"/>
          <w:sz w:val="14"/>
          <w:szCs w:val="14"/>
        </w:rPr>
        <w:softHyphen/>
        <w:t>gen und andere Unterlagen dürfen ausschliesslich zur Ausführung unserer Aufträge verwendet werden. Sie dürfen Dritten ohne unsere Zustimmung nicht zugänglich gemacht werden und sind bis auf Widerruf, längstens jedoch zwei Jahre nach dem letzten Einsatz, ordnungsgemäss aufzubewahren und uns danach auszuhändigen.</w:t>
      </w:r>
    </w:p>
    <w:p w14:paraId="122C166B"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sidRPr="00C048C5">
        <w:rPr>
          <w:rFonts w:ascii="Helvetica" w:hAnsi="Helvetica" w:cs="Helvetica"/>
          <w:sz w:val="14"/>
          <w:szCs w:val="14"/>
        </w:rPr>
        <w:t>Die Anfertigung sowie die Be- und Verarbeitung solcher Werkzeuge, Modelle, Zeichnungen und anderer Unterlagen, die der Lieferant in unserem Auftrag fertigt, erfolgen für uns als Hersteller mit der Folge, dass wir hieran Eigentum erwerben.</w:t>
      </w:r>
    </w:p>
    <w:p w14:paraId="4064D0C0" w14:textId="77777777" w:rsidR="00B231FB" w:rsidRPr="00C048C5" w:rsidRDefault="00B231FB" w:rsidP="00B231FB">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 xml:space="preserve">Informationen und Datenschutz </w:t>
      </w:r>
    </w:p>
    <w:p w14:paraId="76A93355" w14:textId="54CF123B" w:rsidR="00B231FB" w:rsidRPr="00C048C5"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sidRPr="00C048C5">
        <w:rPr>
          <w:rFonts w:ascii="Helvetica" w:hAnsi="Helvetica" w:cs="Helvetica"/>
          <w:sz w:val="14"/>
          <w:szCs w:val="14"/>
        </w:rPr>
        <w:t>Der Lieferant erstellt die notwendigen Produktinformationen und Zertifizie</w:t>
      </w:r>
      <w:r w:rsidRPr="00C048C5">
        <w:rPr>
          <w:rFonts w:ascii="Helvetica" w:hAnsi="Helvetica" w:cs="Helvetica"/>
          <w:sz w:val="14"/>
          <w:szCs w:val="14"/>
        </w:rPr>
        <w:softHyphen/>
        <w:t xml:space="preserve">rungsnachweise und stellt diese </w:t>
      </w:r>
      <w:r w:rsidR="00FB63BD">
        <w:rPr>
          <w:rFonts w:ascii="Helvetica" w:hAnsi="Helvetica" w:cs="Helvetica"/>
          <w:sz w:val="14"/>
          <w:szCs w:val="14"/>
        </w:rPr>
        <w:t>IWK</w:t>
      </w:r>
      <w:r w:rsidRPr="00C048C5">
        <w:rPr>
          <w:rFonts w:ascii="Helvetica" w:hAnsi="Helvetica" w:cs="Helvetica"/>
          <w:sz w:val="14"/>
          <w:szCs w:val="14"/>
        </w:rPr>
        <w:t xml:space="preserve"> zu. Sämtliche Dokumente und allen</w:t>
      </w:r>
      <w:r w:rsidRPr="00C048C5">
        <w:rPr>
          <w:rFonts w:ascii="Helvetica" w:hAnsi="Helvetica" w:cs="Helvetica"/>
          <w:sz w:val="14"/>
          <w:szCs w:val="14"/>
        </w:rPr>
        <w:softHyphen/>
        <w:t>falls auch Prüfzertifikate sind mit der Lieferung oder Leistung abzugeben.</w:t>
      </w:r>
    </w:p>
    <w:p w14:paraId="54233F0F" w14:textId="77777777" w:rsidR="00B231FB" w:rsidRPr="00C048C5"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sidRPr="00C048C5">
        <w:rPr>
          <w:rFonts w:ascii="Helvetica" w:hAnsi="Helvetica" w:cs="Helvetica"/>
          <w:sz w:val="14"/>
          <w:szCs w:val="14"/>
        </w:rPr>
        <w:t>Der Lieferant verpflichtet sich, alle nicht offenkundigen, kaufmännischen oder technischen Einzelheiten, die ihm durch die Geschäftsbeziehung bekannt werden, vertraulich zu behandeln und keinem Dritten zugängig zu machen.</w:t>
      </w:r>
    </w:p>
    <w:p w14:paraId="673713F7" w14:textId="77777777" w:rsidR="00697933" w:rsidRPr="00C048C5" w:rsidRDefault="00697933" w:rsidP="0015440A">
      <w:pPr>
        <w:numPr>
          <w:ilvl w:val="1"/>
          <w:numId w:val="1"/>
        </w:numPr>
        <w:tabs>
          <w:tab w:val="num" w:pos="252"/>
        </w:tabs>
        <w:autoSpaceDE w:val="0"/>
        <w:autoSpaceDN w:val="0"/>
        <w:adjustRightInd w:val="0"/>
        <w:ind w:left="252" w:hanging="252"/>
        <w:jc w:val="both"/>
        <w:rPr>
          <w:rFonts w:ascii="Helvetica" w:hAnsi="Helvetica" w:cs="Helvetica"/>
          <w:sz w:val="14"/>
          <w:szCs w:val="14"/>
        </w:rPr>
      </w:pPr>
      <w:r w:rsidRPr="00C048C5">
        <w:rPr>
          <w:rFonts w:ascii="Helvetica" w:hAnsi="Helvetica" w:cs="Helvetica"/>
          <w:sz w:val="14"/>
          <w:szCs w:val="14"/>
        </w:rPr>
        <w:t xml:space="preserve">«Nicht offenkundigen Einzelheiten» bedeutet alle Güter, Prozesse und Systeme (einschliesslich Informationssysteme), Daten (einschliesslich Kundendaten), Mitarbeiter und Standorte, die zeitweise für die Durchführung </w:t>
      </w:r>
      <w:r w:rsidRPr="00C048C5">
        <w:rPr>
          <w:rFonts w:ascii="Helvetica" w:hAnsi="Helvetica" w:cs="Helvetica"/>
          <w:sz w:val="14"/>
          <w:szCs w:val="14"/>
        </w:rPr>
        <w:lastRenderedPageBreak/>
        <w:t>dieses Vertrages verwendet oder verarbeitet werden</w:t>
      </w:r>
      <w:r w:rsidR="0015440A" w:rsidRPr="00C048C5">
        <w:rPr>
          <w:rFonts w:ascii="Helvetica" w:hAnsi="Helvetica" w:cs="Helvetica"/>
          <w:sz w:val="14"/>
          <w:szCs w:val="14"/>
        </w:rPr>
        <w:t xml:space="preserve"> und der Öffentlichkeit weder frei zugänglich noch bekannt sind</w:t>
      </w:r>
      <w:r w:rsidRPr="00C048C5">
        <w:rPr>
          <w:rFonts w:ascii="Helvetica" w:hAnsi="Helvetica" w:cs="Helvetica"/>
          <w:sz w:val="14"/>
          <w:szCs w:val="14"/>
        </w:rPr>
        <w:t>.</w:t>
      </w:r>
    </w:p>
    <w:p w14:paraId="4705CBB0" w14:textId="566711E8" w:rsidR="00B231FB" w:rsidRDefault="00B231FB" w:rsidP="00B231FB">
      <w:pPr>
        <w:numPr>
          <w:ilvl w:val="1"/>
          <w:numId w:val="1"/>
        </w:numPr>
        <w:tabs>
          <w:tab w:val="num" w:pos="252"/>
        </w:tabs>
        <w:autoSpaceDE w:val="0"/>
        <w:autoSpaceDN w:val="0"/>
        <w:adjustRightInd w:val="0"/>
        <w:ind w:left="252" w:hanging="252"/>
        <w:jc w:val="both"/>
        <w:rPr>
          <w:rFonts w:ascii="Helvetica" w:hAnsi="Helvetica" w:cs="Helvetica"/>
          <w:sz w:val="14"/>
          <w:szCs w:val="14"/>
        </w:rPr>
      </w:pPr>
      <w:r w:rsidRPr="00C048C5">
        <w:rPr>
          <w:rFonts w:ascii="Helvetica" w:hAnsi="Helvetica" w:cs="Helvetica"/>
          <w:sz w:val="14"/>
          <w:szCs w:val="14"/>
        </w:rPr>
        <w:t>Der Lieferant darf nur nach vorheriger schriftlicher Zustimmung mit der Ge</w:t>
      </w:r>
      <w:r w:rsidRPr="00C048C5">
        <w:rPr>
          <w:rFonts w:ascii="Helvetica" w:hAnsi="Helvetica" w:cs="Helvetica"/>
          <w:sz w:val="14"/>
          <w:szCs w:val="14"/>
        </w:rPr>
        <w:softHyphen/>
        <w:t xml:space="preserve">schäftsverbindung zu </w:t>
      </w:r>
      <w:r w:rsidR="00FB63BD">
        <w:rPr>
          <w:rFonts w:ascii="Helvetica" w:hAnsi="Helvetica" w:cs="Helvetica"/>
          <w:sz w:val="14"/>
          <w:szCs w:val="14"/>
        </w:rPr>
        <w:t>IWK</w:t>
      </w:r>
      <w:r w:rsidRPr="00C048C5">
        <w:rPr>
          <w:rFonts w:ascii="Helvetica" w:hAnsi="Helvetica" w:cs="Helvetica"/>
          <w:sz w:val="14"/>
          <w:szCs w:val="14"/>
        </w:rPr>
        <w:t xml:space="preserve"> werben.</w:t>
      </w:r>
    </w:p>
    <w:p w14:paraId="4463FA6D" w14:textId="77777777" w:rsidR="00BC6AC5" w:rsidRPr="00C048C5" w:rsidRDefault="00BC6AC5" w:rsidP="00697933">
      <w:pPr>
        <w:tabs>
          <w:tab w:val="num" w:pos="1080"/>
        </w:tabs>
        <w:autoSpaceDE w:val="0"/>
        <w:autoSpaceDN w:val="0"/>
        <w:adjustRightInd w:val="0"/>
        <w:ind w:left="252"/>
        <w:jc w:val="both"/>
        <w:rPr>
          <w:rFonts w:ascii="Helvetica" w:hAnsi="Helvetica" w:cs="Helvetica"/>
          <w:sz w:val="14"/>
          <w:szCs w:val="14"/>
        </w:rPr>
      </w:pPr>
    </w:p>
    <w:p w14:paraId="4A8AF91F" w14:textId="77777777" w:rsidR="00B231FB" w:rsidRPr="00C048C5" w:rsidRDefault="00B231FB" w:rsidP="009A412C">
      <w:pPr>
        <w:numPr>
          <w:ilvl w:val="0"/>
          <w:numId w:val="1"/>
        </w:numPr>
        <w:tabs>
          <w:tab w:val="num" w:pos="224"/>
          <w:tab w:val="num" w:pos="252"/>
        </w:tabs>
        <w:autoSpaceDE w:val="0"/>
        <w:autoSpaceDN w:val="0"/>
        <w:adjustRightInd w:val="0"/>
        <w:spacing w:before="120" w:after="20" w:line="276" w:lineRule="auto"/>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 xml:space="preserve">Gerichtsstand und anwendbares Recht </w:t>
      </w:r>
    </w:p>
    <w:p w14:paraId="5083E5B7" w14:textId="5289FEFB" w:rsidR="00B231FB" w:rsidRPr="00C048C5" w:rsidRDefault="00B231FB" w:rsidP="00B231FB">
      <w:pPr>
        <w:numPr>
          <w:ilvl w:val="1"/>
          <w:numId w:val="1"/>
        </w:numPr>
        <w:tabs>
          <w:tab w:val="num" w:pos="252"/>
        </w:tabs>
        <w:autoSpaceDE w:val="0"/>
        <w:autoSpaceDN w:val="0"/>
        <w:adjustRightInd w:val="0"/>
        <w:ind w:left="252" w:hanging="252"/>
        <w:jc w:val="both"/>
        <w:rPr>
          <w:rFonts w:ascii="EAGKGH+Arial" w:hAnsi="EAGKGH+Arial" w:cs="EAGKGH+Arial"/>
          <w:bCs/>
          <w:color w:val="000000"/>
          <w:sz w:val="14"/>
          <w:szCs w:val="14"/>
        </w:rPr>
      </w:pPr>
      <w:r w:rsidRPr="00C048C5">
        <w:rPr>
          <w:rFonts w:ascii="EAGKGH+Arial" w:hAnsi="EAGKGH+Arial" w:cs="EAGKGH+Arial"/>
          <w:bCs/>
          <w:color w:val="000000"/>
          <w:sz w:val="14"/>
          <w:szCs w:val="14"/>
        </w:rPr>
        <w:t xml:space="preserve">Das Vertragsverhältnis zwischen der </w:t>
      </w:r>
      <w:r w:rsidR="00FB63BD">
        <w:rPr>
          <w:rFonts w:ascii="EAGKGH+Arial" w:hAnsi="EAGKGH+Arial" w:cs="EAGKGH+Arial"/>
          <w:bCs/>
          <w:color w:val="000000"/>
          <w:sz w:val="14"/>
          <w:szCs w:val="14"/>
        </w:rPr>
        <w:t>IWK</w:t>
      </w:r>
      <w:r w:rsidRPr="00C048C5">
        <w:rPr>
          <w:rFonts w:ascii="EAGKGH+Arial" w:hAnsi="EAGKGH+Arial" w:cs="EAGKGH+Arial"/>
          <w:bCs/>
          <w:color w:val="000000"/>
          <w:sz w:val="14"/>
          <w:szCs w:val="14"/>
        </w:rPr>
        <w:t xml:space="preserve"> und dem Lieferanten untersteht</w:t>
      </w:r>
      <w:r w:rsidR="0075325E" w:rsidRPr="00C048C5">
        <w:rPr>
          <w:rFonts w:ascii="EAGKGH+Arial" w:hAnsi="EAGKGH+Arial" w:cs="EAGKGH+Arial"/>
          <w:bCs/>
          <w:color w:val="000000"/>
          <w:sz w:val="14"/>
          <w:szCs w:val="14"/>
        </w:rPr>
        <w:t xml:space="preserve"> </w:t>
      </w:r>
      <w:r w:rsidRPr="00C048C5">
        <w:rPr>
          <w:rFonts w:ascii="EAGKGH+Arial" w:hAnsi="EAGKGH+Arial" w:cs="EAGKGH+Arial"/>
          <w:bCs/>
          <w:color w:val="000000"/>
          <w:sz w:val="14"/>
          <w:szCs w:val="14"/>
        </w:rPr>
        <w:t>schweizerischem R</w:t>
      </w:r>
      <w:r w:rsidR="0075325E" w:rsidRPr="00C048C5">
        <w:rPr>
          <w:rFonts w:ascii="EAGKGH+Arial" w:hAnsi="EAGKGH+Arial" w:cs="EAGKGH+Arial"/>
          <w:bCs/>
          <w:color w:val="000000"/>
          <w:sz w:val="14"/>
          <w:szCs w:val="14"/>
        </w:rPr>
        <w:t xml:space="preserve">echt. Gerichtsort ist </w:t>
      </w:r>
      <w:r w:rsidR="004C2E37">
        <w:rPr>
          <w:rFonts w:ascii="EAGKGH+Arial" w:hAnsi="EAGKGH+Arial" w:cs="EAGKGH+Arial"/>
          <w:bCs/>
          <w:color w:val="000000"/>
          <w:sz w:val="14"/>
          <w:szCs w:val="14"/>
        </w:rPr>
        <w:t>Seuzach</w:t>
      </w:r>
      <w:r w:rsidR="00C464ED" w:rsidRPr="00C048C5">
        <w:rPr>
          <w:rFonts w:ascii="EAGKGH+Arial" w:hAnsi="EAGKGH+Arial" w:cs="EAGKGH+Arial"/>
          <w:bCs/>
          <w:color w:val="000000"/>
          <w:sz w:val="14"/>
          <w:szCs w:val="14"/>
        </w:rPr>
        <w:t xml:space="preserve"> </w:t>
      </w:r>
      <w:r w:rsidRPr="00C048C5">
        <w:rPr>
          <w:rFonts w:ascii="EAGKGH+Arial" w:hAnsi="EAGKGH+Arial" w:cs="EAGKGH+Arial"/>
          <w:bCs/>
          <w:color w:val="000000"/>
          <w:sz w:val="14"/>
          <w:szCs w:val="14"/>
        </w:rPr>
        <w:t>-</w:t>
      </w:r>
      <w:r w:rsidR="00C464ED" w:rsidRPr="00C048C5">
        <w:rPr>
          <w:rFonts w:ascii="EAGKGH+Arial" w:hAnsi="EAGKGH+Arial" w:cs="EAGKGH+Arial"/>
          <w:bCs/>
          <w:color w:val="000000"/>
          <w:sz w:val="14"/>
          <w:szCs w:val="14"/>
        </w:rPr>
        <w:t xml:space="preserve"> </w:t>
      </w:r>
      <w:r w:rsidR="0075325E" w:rsidRPr="00C048C5">
        <w:rPr>
          <w:rFonts w:ascii="EAGKGH+Arial" w:hAnsi="EAGKGH+Arial" w:cs="EAGKGH+Arial"/>
          <w:bCs/>
          <w:color w:val="000000"/>
          <w:sz w:val="14"/>
          <w:szCs w:val="14"/>
        </w:rPr>
        <w:t>S</w:t>
      </w:r>
      <w:r w:rsidRPr="00C048C5">
        <w:rPr>
          <w:rFonts w:ascii="EAGKGH+Arial" w:hAnsi="EAGKGH+Arial" w:cs="EAGKGH+Arial"/>
          <w:bCs/>
          <w:color w:val="000000"/>
          <w:sz w:val="14"/>
          <w:szCs w:val="14"/>
        </w:rPr>
        <w:t>chweiz.</w:t>
      </w:r>
    </w:p>
    <w:p w14:paraId="6F1073F2" w14:textId="0996B092" w:rsidR="00E257FF" w:rsidRPr="00C048C5" w:rsidRDefault="00FB63BD" w:rsidP="00E257FF">
      <w:pPr>
        <w:numPr>
          <w:ilvl w:val="1"/>
          <w:numId w:val="1"/>
        </w:numPr>
        <w:tabs>
          <w:tab w:val="num" w:pos="252"/>
        </w:tabs>
        <w:autoSpaceDE w:val="0"/>
        <w:autoSpaceDN w:val="0"/>
        <w:adjustRightInd w:val="0"/>
        <w:ind w:left="252" w:hanging="252"/>
        <w:jc w:val="both"/>
        <w:rPr>
          <w:rFonts w:ascii="EAGKGH+Arial" w:hAnsi="EAGKGH+Arial" w:cs="EAGKGH+Arial"/>
          <w:color w:val="000000"/>
          <w:sz w:val="14"/>
          <w:szCs w:val="14"/>
        </w:rPr>
      </w:pPr>
      <w:r>
        <w:rPr>
          <w:rFonts w:ascii="EAGKGH+Arial" w:hAnsi="EAGKGH+Arial" w:cs="EAGKGH+Arial"/>
          <w:color w:val="000000"/>
          <w:sz w:val="14"/>
          <w:szCs w:val="14"/>
        </w:rPr>
        <w:t>IWK</w:t>
      </w:r>
      <w:r w:rsidR="00B231FB" w:rsidRPr="00C048C5">
        <w:rPr>
          <w:rFonts w:ascii="EAGKGH+Arial" w:hAnsi="EAGKGH+Arial" w:cs="EAGKGH+Arial"/>
          <w:color w:val="000000"/>
          <w:sz w:val="14"/>
          <w:szCs w:val="14"/>
        </w:rPr>
        <w:t xml:space="preserve"> ist jedoch auch berechtigt, den Lieferanten an dessen Sitz zu belan</w:t>
      </w:r>
      <w:r w:rsidR="00B231FB" w:rsidRPr="00C048C5">
        <w:rPr>
          <w:rFonts w:ascii="EAGKGH+Arial" w:hAnsi="EAGKGH+Arial" w:cs="EAGKGH+Arial"/>
          <w:color w:val="000000"/>
          <w:sz w:val="14"/>
          <w:szCs w:val="14"/>
        </w:rPr>
        <w:softHyphen/>
        <w:t xml:space="preserve">gen. </w:t>
      </w:r>
    </w:p>
    <w:p w14:paraId="4F3F2871" w14:textId="5DCB8617" w:rsidR="009D2E13" w:rsidRPr="009D2E13" w:rsidRDefault="009D2E13" w:rsidP="009D2E13">
      <w:pPr>
        <w:numPr>
          <w:ilvl w:val="0"/>
          <w:numId w:val="1"/>
        </w:numPr>
        <w:tabs>
          <w:tab w:val="num" w:pos="224"/>
          <w:tab w:val="num" w:pos="252"/>
        </w:tabs>
        <w:autoSpaceDE w:val="0"/>
        <w:autoSpaceDN w:val="0"/>
        <w:adjustRightInd w:val="0"/>
        <w:spacing w:before="120" w:after="20"/>
        <w:ind w:left="249" w:right="-113" w:hanging="249"/>
        <w:jc w:val="both"/>
        <w:rPr>
          <w:rFonts w:ascii="EAGKGF+Arial,Bold" w:hAnsi="EAGKGF+Arial,Bold" w:cs="EAGKGF+Arial,Bold"/>
          <w:color w:val="000000"/>
          <w:sz w:val="14"/>
          <w:szCs w:val="14"/>
        </w:rPr>
      </w:pPr>
      <w:r w:rsidRPr="00C048C5">
        <w:rPr>
          <w:rFonts w:ascii="EAGKGF+Arial,Bold" w:hAnsi="EAGKGF+Arial,Bold" w:cs="EAGKGF+Arial,Bold"/>
          <w:b/>
          <w:bCs/>
          <w:color w:val="000000"/>
          <w:sz w:val="14"/>
          <w:szCs w:val="14"/>
        </w:rPr>
        <w:t>Teilweise Unwirksamkeit</w:t>
      </w:r>
    </w:p>
    <w:p w14:paraId="740844ED" w14:textId="77777777" w:rsidR="00B231FB" w:rsidRPr="00C048C5" w:rsidRDefault="00B231FB" w:rsidP="00B231FB">
      <w:pPr>
        <w:numPr>
          <w:ilvl w:val="1"/>
          <w:numId w:val="1"/>
        </w:numPr>
        <w:tabs>
          <w:tab w:val="num" w:pos="252"/>
        </w:tabs>
        <w:autoSpaceDE w:val="0"/>
        <w:autoSpaceDN w:val="0"/>
        <w:adjustRightInd w:val="0"/>
        <w:ind w:left="252" w:hanging="252"/>
        <w:jc w:val="both"/>
        <w:rPr>
          <w:sz w:val="14"/>
          <w:szCs w:val="14"/>
        </w:rPr>
      </w:pPr>
      <w:r w:rsidRPr="00C048C5">
        <w:rPr>
          <w:rFonts w:cs="Arial"/>
          <w:sz w:val="14"/>
          <w:szCs w:val="14"/>
        </w:rPr>
        <w:t xml:space="preserve">Sollten diese Einkaufsbedingungen teilweise unwirksam sein, so bleibt der Vertrag im </w:t>
      </w:r>
      <w:r w:rsidR="002C72AA" w:rsidRPr="00C048C5">
        <w:rPr>
          <w:rFonts w:cs="Arial"/>
          <w:sz w:val="14"/>
          <w:szCs w:val="14"/>
        </w:rPr>
        <w:t>Übrigen</w:t>
      </w:r>
      <w:r w:rsidRPr="00C048C5">
        <w:rPr>
          <w:rFonts w:cs="Arial"/>
          <w:sz w:val="14"/>
          <w:szCs w:val="14"/>
        </w:rPr>
        <w:t xml:space="preserve"> dennoch wirksam. Die unwirksame Bestimmung ist durch eine solche wirksame zu ersetzen, die dem Sinn und Zweck der unwirksamen Bestimmung möglichst </w:t>
      </w:r>
      <w:r w:rsidR="002C72AA" w:rsidRPr="00C048C5">
        <w:rPr>
          <w:rFonts w:cs="Arial"/>
          <w:sz w:val="14"/>
          <w:szCs w:val="14"/>
        </w:rPr>
        <w:t>nahekommt</w:t>
      </w:r>
      <w:r w:rsidRPr="00C048C5">
        <w:rPr>
          <w:rFonts w:cs="Arial"/>
          <w:sz w:val="14"/>
          <w:szCs w:val="14"/>
        </w:rPr>
        <w:t>.</w:t>
      </w:r>
    </w:p>
    <w:p w14:paraId="7C493167" w14:textId="5D557D3C" w:rsidR="007B3A8F" w:rsidRDefault="00B7663A" w:rsidP="00C464ED">
      <w:pPr>
        <w:tabs>
          <w:tab w:val="num" w:pos="252"/>
          <w:tab w:val="right" w:pos="5040"/>
        </w:tabs>
        <w:autoSpaceDE w:val="0"/>
        <w:autoSpaceDN w:val="0"/>
        <w:adjustRightInd w:val="0"/>
        <w:ind w:left="252" w:hanging="252"/>
        <w:jc w:val="both"/>
      </w:pPr>
      <w:r w:rsidRPr="00C048C5">
        <w:rPr>
          <w:rFonts w:cs="Arial"/>
          <w:sz w:val="14"/>
          <w:szCs w:val="14"/>
        </w:rPr>
        <w:tab/>
      </w:r>
      <w:r w:rsidRPr="00C048C5">
        <w:rPr>
          <w:rFonts w:cs="Arial"/>
          <w:sz w:val="14"/>
          <w:szCs w:val="14"/>
        </w:rPr>
        <w:tab/>
      </w:r>
      <w:r w:rsidR="00FB63BD">
        <w:rPr>
          <w:rFonts w:cs="Arial"/>
          <w:sz w:val="14"/>
          <w:szCs w:val="14"/>
        </w:rPr>
        <w:t>Seuzach</w:t>
      </w:r>
      <w:r w:rsidRPr="00C048C5">
        <w:rPr>
          <w:rFonts w:cs="Arial"/>
          <w:sz w:val="14"/>
          <w:szCs w:val="14"/>
        </w:rPr>
        <w:t xml:space="preserve">, </w:t>
      </w:r>
      <w:r w:rsidR="00E257FF" w:rsidRPr="00C048C5">
        <w:rPr>
          <w:rFonts w:cs="Arial"/>
          <w:sz w:val="14"/>
          <w:szCs w:val="14"/>
        </w:rPr>
        <w:t>im</w:t>
      </w:r>
      <w:r w:rsidRPr="00C048C5">
        <w:rPr>
          <w:rFonts w:cs="Arial"/>
          <w:sz w:val="14"/>
          <w:szCs w:val="14"/>
        </w:rPr>
        <w:t xml:space="preserve"> </w:t>
      </w:r>
      <w:r w:rsidR="005E4FB6">
        <w:rPr>
          <w:rFonts w:cs="Arial"/>
          <w:sz w:val="14"/>
          <w:szCs w:val="14"/>
        </w:rPr>
        <w:t>September</w:t>
      </w:r>
      <w:r w:rsidR="005671E4">
        <w:rPr>
          <w:rFonts w:cs="Arial"/>
          <w:sz w:val="14"/>
          <w:szCs w:val="14"/>
        </w:rPr>
        <w:t xml:space="preserve"> </w:t>
      </w:r>
      <w:r w:rsidR="00C464ED" w:rsidRPr="00C048C5">
        <w:rPr>
          <w:rFonts w:cs="Arial"/>
          <w:sz w:val="14"/>
          <w:szCs w:val="14"/>
        </w:rPr>
        <w:t>20</w:t>
      </w:r>
      <w:r w:rsidR="00E257FF" w:rsidRPr="00C048C5">
        <w:rPr>
          <w:rFonts w:cs="Arial"/>
          <w:sz w:val="14"/>
          <w:szCs w:val="14"/>
        </w:rPr>
        <w:t>2</w:t>
      </w:r>
      <w:r w:rsidR="00ED17E8">
        <w:rPr>
          <w:rFonts w:cs="Arial"/>
          <w:sz w:val="14"/>
          <w:szCs w:val="14"/>
        </w:rPr>
        <w:t>5</w:t>
      </w:r>
    </w:p>
    <w:sectPr w:rsidR="007B3A8F" w:rsidSect="009F2533">
      <w:headerReference w:type="default" r:id="rId11"/>
      <w:pgSz w:w="11906" w:h="16838" w:code="9"/>
      <w:pgMar w:top="907" w:right="720" w:bottom="357" w:left="53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377D" w14:textId="77777777" w:rsidR="00EC5D85" w:rsidRDefault="00EC5D85" w:rsidP="000902E2">
      <w:r>
        <w:separator/>
      </w:r>
    </w:p>
  </w:endnote>
  <w:endnote w:type="continuationSeparator" w:id="0">
    <w:p w14:paraId="61EDD9F9" w14:textId="77777777" w:rsidR="00EC5D85" w:rsidRDefault="00EC5D85" w:rsidP="0009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AGKGF+Arial,Bold">
    <w:altName w:val="Arial"/>
    <w:panose1 w:val="00000000000000000000"/>
    <w:charset w:val="00"/>
    <w:family w:val="swiss"/>
    <w:notTrueType/>
    <w:pitch w:val="default"/>
    <w:sig w:usb0="00000003" w:usb1="00000000" w:usb2="00000000" w:usb3="00000000" w:csb0="00000001" w:csb1="00000000"/>
  </w:font>
  <w:font w:name="EAGKGH+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693D" w14:textId="77777777" w:rsidR="00EC5D85" w:rsidRDefault="00EC5D85" w:rsidP="000902E2">
      <w:r>
        <w:separator/>
      </w:r>
    </w:p>
  </w:footnote>
  <w:footnote w:type="continuationSeparator" w:id="0">
    <w:p w14:paraId="1DAA137B" w14:textId="77777777" w:rsidR="00EC5D85" w:rsidRDefault="00EC5D85" w:rsidP="0009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6100" w14:textId="5D0B5C8E" w:rsidR="000902E2" w:rsidRPr="000902E2" w:rsidRDefault="00305686" w:rsidP="000902E2">
    <w:pPr>
      <w:pStyle w:val="Kopfzeile"/>
      <w:tabs>
        <w:tab w:val="clear" w:pos="4536"/>
        <w:tab w:val="clear" w:pos="9072"/>
        <w:tab w:val="left" w:pos="8836"/>
      </w:tabs>
      <w:rPr>
        <w:lang w:val="en-US"/>
      </w:rPr>
    </w:pPr>
    <w:r>
      <w:rPr>
        <w:noProof/>
      </w:rPr>
      <w:drawing>
        <wp:anchor distT="0" distB="0" distL="114300" distR="114300" simplePos="0" relativeHeight="251661312" behindDoc="0" locked="0" layoutInCell="1" allowOverlap="1" wp14:anchorId="17EA9239" wp14:editId="42B24928">
          <wp:simplePos x="0" y="0"/>
          <wp:positionH relativeFrom="margin">
            <wp:align>right</wp:align>
          </wp:positionH>
          <wp:positionV relativeFrom="paragraph">
            <wp:posOffset>-278436</wp:posOffset>
          </wp:positionV>
          <wp:extent cx="1038860" cy="309245"/>
          <wp:effectExtent l="0" t="0" r="8890" b="0"/>
          <wp:wrapNone/>
          <wp:docPr id="1091926436"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26436"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38860" cy="309245"/>
                  </a:xfrm>
                  <a:prstGeom prst="rect">
                    <a:avLst/>
                  </a:prstGeom>
                </pic:spPr>
              </pic:pic>
            </a:graphicData>
          </a:graphic>
          <wp14:sizeRelH relativeFrom="margin">
            <wp14:pctWidth>0</wp14:pctWidth>
          </wp14:sizeRelH>
          <wp14:sizeRelV relativeFrom="margin">
            <wp14:pctHeight>0</wp14:pctHeight>
          </wp14:sizeRelV>
        </wp:anchor>
      </w:drawing>
    </w:r>
    <w:r w:rsidR="005B7F04">
      <w:rPr>
        <w:noProof/>
      </w:rPr>
      <mc:AlternateContent>
        <mc:Choice Requires="wps">
          <w:drawing>
            <wp:anchor distT="0" distB="0" distL="114300" distR="114300" simplePos="0" relativeHeight="251659264" behindDoc="0" locked="0" layoutInCell="1" allowOverlap="1" wp14:anchorId="1CD82FC5" wp14:editId="25D89AB4">
              <wp:simplePos x="0" y="0"/>
              <wp:positionH relativeFrom="column">
                <wp:posOffset>31808</wp:posOffset>
              </wp:positionH>
              <wp:positionV relativeFrom="paragraph">
                <wp:posOffset>-248334</wp:posOffset>
              </wp:positionV>
              <wp:extent cx="5628904" cy="350322"/>
              <wp:effectExtent l="0" t="0" r="0" b="0"/>
              <wp:wrapNone/>
              <wp:docPr id="2" name="Textfeld 2"/>
              <wp:cNvGraphicFramePr/>
              <a:graphic xmlns:a="http://schemas.openxmlformats.org/drawingml/2006/main">
                <a:graphicData uri="http://schemas.microsoft.com/office/word/2010/wordprocessingShape">
                  <wps:wsp>
                    <wps:cNvSpPr txBox="1"/>
                    <wps:spPr>
                      <a:xfrm>
                        <a:off x="0" y="0"/>
                        <a:ext cx="5628904" cy="350322"/>
                      </a:xfrm>
                      <a:prstGeom prst="rect">
                        <a:avLst/>
                      </a:prstGeom>
                      <a:noFill/>
                      <a:ln w="6350">
                        <a:noFill/>
                      </a:ln>
                    </wps:spPr>
                    <wps:txbx>
                      <w:txbxContent>
                        <w:p w14:paraId="1D0E5894" w14:textId="77777777" w:rsidR="00305686" w:rsidRPr="000C64FF" w:rsidRDefault="000902E2" w:rsidP="00305686">
                          <w:pPr>
                            <w:rPr>
                              <w:b/>
                              <w:bCs/>
                              <w:sz w:val="24"/>
                              <w:szCs w:val="24"/>
                            </w:rPr>
                          </w:pPr>
                          <w:r w:rsidRPr="00305686">
                            <w:rPr>
                              <w:b/>
                              <w:sz w:val="24"/>
                            </w:rPr>
                            <w:t>Allgemeine Einkauf</w:t>
                          </w:r>
                          <w:r w:rsidR="00E257FF" w:rsidRPr="00305686">
                            <w:rPr>
                              <w:b/>
                              <w:sz w:val="24"/>
                            </w:rPr>
                            <w:t>s</w:t>
                          </w:r>
                          <w:r w:rsidRPr="00305686">
                            <w:rPr>
                              <w:b/>
                              <w:sz w:val="24"/>
                            </w:rPr>
                            <w:t xml:space="preserve">bedingungen der </w:t>
                          </w:r>
                          <w:r w:rsidR="00305686">
                            <w:rPr>
                              <w:b/>
                              <w:sz w:val="24"/>
                            </w:rPr>
                            <w:t>IWK Integrierte Wärme und Kraft AG</w:t>
                          </w:r>
                        </w:p>
                        <w:p w14:paraId="723D4A27" w14:textId="4A68E3A8" w:rsidR="000902E2" w:rsidRPr="00305686" w:rsidRDefault="000902E2">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82FC5" id="_x0000_t202" coordsize="21600,21600" o:spt="202" path="m,l,21600r21600,l21600,xe">
              <v:stroke joinstyle="miter"/>
              <v:path gradientshapeok="t" o:connecttype="rect"/>
            </v:shapetype>
            <v:shape id="Textfeld 2" o:spid="_x0000_s1026" type="#_x0000_t202" style="position:absolute;margin-left:2.5pt;margin-top:-19.55pt;width:443.2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" filled="f" stroked="f" strokeweight=".5pt">
              <v:textbox>
                <w:txbxContent>
                  <w:p w14:paraId="1D0E5894" w14:textId="77777777" w:rsidR="00305686" w:rsidRPr="000C64FF" w:rsidRDefault="000902E2" w:rsidP="00305686">
                    <w:pPr>
                      <w:rPr>
                        <w:b/>
                        <w:bCs/>
                        <w:sz w:val="24"/>
                        <w:szCs w:val="24"/>
                      </w:rPr>
                    </w:pPr>
                    <w:r w:rsidRPr="00305686">
                      <w:rPr>
                        <w:b/>
                        <w:sz w:val="24"/>
                      </w:rPr>
                      <w:t>Allgemeine Einkauf</w:t>
                    </w:r>
                    <w:r w:rsidR="00E257FF" w:rsidRPr="00305686">
                      <w:rPr>
                        <w:b/>
                        <w:sz w:val="24"/>
                      </w:rPr>
                      <w:t>s</w:t>
                    </w:r>
                    <w:r w:rsidRPr="00305686">
                      <w:rPr>
                        <w:b/>
                        <w:sz w:val="24"/>
                      </w:rPr>
                      <w:t xml:space="preserve">bedingungen der </w:t>
                    </w:r>
                    <w:r w:rsidR="00305686">
                      <w:rPr>
                        <w:b/>
                        <w:sz w:val="24"/>
                      </w:rPr>
                      <w:t>IWK Integrierte Wärme und Kraft AG</w:t>
                    </w:r>
                  </w:p>
                  <w:p w14:paraId="723D4A27" w14:textId="4A68E3A8" w:rsidR="000902E2" w:rsidRPr="00305686" w:rsidRDefault="000902E2">
                    <w:pPr>
                      <w:rPr>
                        <w:b/>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423"/>
    <w:multiLevelType w:val="hybridMultilevel"/>
    <w:tmpl w:val="87B23A8C"/>
    <w:lvl w:ilvl="0" w:tplc="659CA674">
      <w:start w:val="1"/>
      <w:numFmt w:val="decimal"/>
      <w:lvlText w:val="%1."/>
      <w:lvlJc w:val="left"/>
      <w:pPr>
        <w:tabs>
          <w:tab w:val="num" w:pos="501"/>
        </w:tabs>
        <w:ind w:left="501" w:hanging="360"/>
      </w:pPr>
      <w:rPr>
        <w:b/>
        <w:i w:val="0"/>
        <w:sz w:val="14"/>
      </w:rPr>
    </w:lvl>
    <w:lvl w:ilvl="1" w:tplc="08070019">
      <w:start w:val="1"/>
      <w:numFmt w:val="lowerLetter"/>
      <w:lvlText w:val="%2."/>
      <w:lvlJc w:val="left"/>
      <w:pPr>
        <w:tabs>
          <w:tab w:val="num" w:pos="1080"/>
        </w:tabs>
        <w:ind w:left="1080" w:hanging="360"/>
      </w:pPr>
    </w:lvl>
    <w:lvl w:ilvl="2" w:tplc="72D03476">
      <w:start w:val="1"/>
      <w:numFmt w:val="ordinal"/>
      <w:lvlText w:val="%3"/>
      <w:lvlJc w:val="right"/>
      <w:pPr>
        <w:tabs>
          <w:tab w:val="num" w:pos="1800"/>
        </w:tabs>
        <w:ind w:left="1800" w:hanging="180"/>
      </w:pPr>
      <w:rPr>
        <w:b w:val="0"/>
        <w:i w:val="0"/>
        <w:sz w:val="14"/>
      </w:rPr>
    </w:lvl>
    <w:lvl w:ilvl="3" w:tplc="0807000F">
      <w:start w:val="1"/>
      <w:numFmt w:val="decimal"/>
      <w:lvlText w:val="%4."/>
      <w:lvlJc w:val="left"/>
      <w:pPr>
        <w:tabs>
          <w:tab w:val="num" w:pos="2520"/>
        </w:tabs>
        <w:ind w:left="2520" w:hanging="360"/>
      </w:pPr>
    </w:lvl>
    <w:lvl w:ilvl="4" w:tplc="08070019">
      <w:start w:val="1"/>
      <w:numFmt w:val="lowerLetter"/>
      <w:lvlText w:val="%5."/>
      <w:lvlJc w:val="left"/>
      <w:pPr>
        <w:tabs>
          <w:tab w:val="num" w:pos="3240"/>
        </w:tabs>
        <w:ind w:left="3240" w:hanging="360"/>
      </w:pPr>
    </w:lvl>
    <w:lvl w:ilvl="5" w:tplc="0807001B">
      <w:start w:val="1"/>
      <w:numFmt w:val="lowerRoman"/>
      <w:lvlText w:val="%6."/>
      <w:lvlJc w:val="right"/>
      <w:pPr>
        <w:tabs>
          <w:tab w:val="num" w:pos="3960"/>
        </w:tabs>
        <w:ind w:left="3960" w:hanging="180"/>
      </w:pPr>
    </w:lvl>
    <w:lvl w:ilvl="6" w:tplc="0807000F">
      <w:start w:val="1"/>
      <w:numFmt w:val="decimal"/>
      <w:lvlText w:val="%7."/>
      <w:lvlJc w:val="left"/>
      <w:pPr>
        <w:tabs>
          <w:tab w:val="num" w:pos="4680"/>
        </w:tabs>
        <w:ind w:left="4680" w:hanging="360"/>
      </w:pPr>
    </w:lvl>
    <w:lvl w:ilvl="7" w:tplc="08070019">
      <w:start w:val="1"/>
      <w:numFmt w:val="lowerLetter"/>
      <w:lvlText w:val="%8."/>
      <w:lvlJc w:val="left"/>
      <w:pPr>
        <w:tabs>
          <w:tab w:val="num" w:pos="5400"/>
        </w:tabs>
        <w:ind w:left="5400" w:hanging="360"/>
      </w:pPr>
    </w:lvl>
    <w:lvl w:ilvl="8" w:tplc="0807001B">
      <w:start w:val="1"/>
      <w:numFmt w:val="lowerRoman"/>
      <w:lvlText w:val="%9."/>
      <w:lvlJc w:val="right"/>
      <w:pPr>
        <w:tabs>
          <w:tab w:val="num" w:pos="6120"/>
        </w:tabs>
        <w:ind w:left="6120" w:hanging="180"/>
      </w:pPr>
    </w:lvl>
  </w:abstractNum>
  <w:num w:numId="1" w16cid:durableId="718475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FB"/>
    <w:rsid w:val="000668E9"/>
    <w:rsid w:val="000902E2"/>
    <w:rsid w:val="000968CD"/>
    <w:rsid w:val="000E5D76"/>
    <w:rsid w:val="001236D1"/>
    <w:rsid w:val="001400F1"/>
    <w:rsid w:val="0015440A"/>
    <w:rsid w:val="00166680"/>
    <w:rsid w:val="001D24BB"/>
    <w:rsid w:val="002004C4"/>
    <w:rsid w:val="00281C4A"/>
    <w:rsid w:val="002B764B"/>
    <w:rsid w:val="002C143D"/>
    <w:rsid w:val="002C72AA"/>
    <w:rsid w:val="002F1571"/>
    <w:rsid w:val="00305686"/>
    <w:rsid w:val="003361DF"/>
    <w:rsid w:val="0038739D"/>
    <w:rsid w:val="003F5E41"/>
    <w:rsid w:val="004B5C97"/>
    <w:rsid w:val="004C2E37"/>
    <w:rsid w:val="0052297E"/>
    <w:rsid w:val="00525B53"/>
    <w:rsid w:val="005445B5"/>
    <w:rsid w:val="005671E4"/>
    <w:rsid w:val="0057066B"/>
    <w:rsid w:val="005B7F04"/>
    <w:rsid w:val="005C3D63"/>
    <w:rsid w:val="005E4FB6"/>
    <w:rsid w:val="0067154B"/>
    <w:rsid w:val="00697933"/>
    <w:rsid w:val="006B6B06"/>
    <w:rsid w:val="0075325E"/>
    <w:rsid w:val="007B1361"/>
    <w:rsid w:val="007B3A8F"/>
    <w:rsid w:val="008B1039"/>
    <w:rsid w:val="008C4B76"/>
    <w:rsid w:val="009A412C"/>
    <w:rsid w:val="009D2E13"/>
    <w:rsid w:val="009F2533"/>
    <w:rsid w:val="00A35BFA"/>
    <w:rsid w:val="00A61D0A"/>
    <w:rsid w:val="00AA1756"/>
    <w:rsid w:val="00AC0284"/>
    <w:rsid w:val="00AC7998"/>
    <w:rsid w:val="00AD02EE"/>
    <w:rsid w:val="00AE0CD6"/>
    <w:rsid w:val="00B231FB"/>
    <w:rsid w:val="00B7663A"/>
    <w:rsid w:val="00BA5496"/>
    <w:rsid w:val="00BC6AC5"/>
    <w:rsid w:val="00C048C5"/>
    <w:rsid w:val="00C464ED"/>
    <w:rsid w:val="00C56E47"/>
    <w:rsid w:val="00C70337"/>
    <w:rsid w:val="00C70E81"/>
    <w:rsid w:val="00C7664C"/>
    <w:rsid w:val="00CF270F"/>
    <w:rsid w:val="00D21CA7"/>
    <w:rsid w:val="00D61CC5"/>
    <w:rsid w:val="00D640FB"/>
    <w:rsid w:val="00E257FF"/>
    <w:rsid w:val="00EC5D85"/>
    <w:rsid w:val="00ED17E8"/>
    <w:rsid w:val="00EE6676"/>
    <w:rsid w:val="00F153E6"/>
    <w:rsid w:val="00F23809"/>
    <w:rsid w:val="00FB63BD"/>
    <w:rsid w:val="00FC5C92"/>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B162C"/>
  <w15:chartTrackingRefBased/>
  <w15:docId w15:val="{0AF9BB0A-E5F1-4BA4-BFD7-002696E8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E13"/>
    <w:pPr>
      <w:spacing w:after="0" w:line="240" w:lineRule="auto"/>
    </w:pPr>
    <w:rPr>
      <w:rFonts w:eastAsia="Times New Roman" w:cs="Times New Roman"/>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02E2"/>
    <w:pPr>
      <w:tabs>
        <w:tab w:val="center" w:pos="4536"/>
        <w:tab w:val="right" w:pos="9072"/>
      </w:tabs>
    </w:pPr>
  </w:style>
  <w:style w:type="character" w:customStyle="1" w:styleId="KopfzeileZchn">
    <w:name w:val="Kopfzeile Zchn"/>
    <w:basedOn w:val="Absatz-Standardschriftart"/>
    <w:link w:val="Kopfzeile"/>
    <w:uiPriority w:val="99"/>
    <w:rsid w:val="000902E2"/>
    <w:rPr>
      <w:rFonts w:eastAsia="Times New Roman" w:cs="Times New Roman"/>
      <w:szCs w:val="20"/>
      <w:lang w:eastAsia="de-CH"/>
    </w:rPr>
  </w:style>
  <w:style w:type="paragraph" w:styleId="Fuzeile">
    <w:name w:val="footer"/>
    <w:basedOn w:val="Standard"/>
    <w:link w:val="FuzeileZchn"/>
    <w:uiPriority w:val="99"/>
    <w:unhideWhenUsed/>
    <w:rsid w:val="000902E2"/>
    <w:pPr>
      <w:tabs>
        <w:tab w:val="center" w:pos="4536"/>
        <w:tab w:val="right" w:pos="9072"/>
      </w:tabs>
    </w:pPr>
  </w:style>
  <w:style w:type="character" w:customStyle="1" w:styleId="FuzeileZchn">
    <w:name w:val="Fußzeile Zchn"/>
    <w:basedOn w:val="Absatz-Standardschriftart"/>
    <w:link w:val="Fuzeile"/>
    <w:uiPriority w:val="99"/>
    <w:rsid w:val="000902E2"/>
    <w:rPr>
      <w:rFonts w:eastAsia="Times New Roman" w:cs="Times New Roman"/>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F383A45D060C48B6843175EE62E6AE" ma:contentTypeVersion="9" ma:contentTypeDescription="Ein neues Dokument erstellen." ma:contentTypeScope="" ma:versionID="c6ab67b7a4e6c27f06af17f6a20ff0c7">
  <xsd:schema xmlns:xsd="http://www.w3.org/2001/XMLSchema" xmlns:xs="http://www.w3.org/2001/XMLSchema" xmlns:p="http://schemas.microsoft.com/office/2006/metadata/properties" xmlns:ns3="06313094-9d18-4b50-b552-85f2ffc59674" xmlns:ns4="27e32b33-cede-49df-9b08-325f31b984cf" targetNamespace="http://schemas.microsoft.com/office/2006/metadata/properties" ma:root="true" ma:fieldsID="912a256154a5e7017c010f2064bec7f7" ns3:_="" ns4:_="">
    <xsd:import namespace="06313094-9d18-4b50-b552-85f2ffc59674"/>
    <xsd:import namespace="27e32b33-cede-49df-9b08-325f31b984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13094-9d18-4b50-b552-85f2ffc5967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32b33-cede-49df-9b08-325f31b98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65219-07AA-4E14-8525-A89660BEFDF6}">
  <ds:schemaRefs>
    <ds:schemaRef ds:uri="http://schemas.microsoft.com/sharepoint/v3/contenttype/forms"/>
  </ds:schemaRefs>
</ds:datastoreItem>
</file>

<file path=customXml/itemProps2.xml><?xml version="1.0" encoding="utf-8"?>
<ds:datastoreItem xmlns:ds="http://schemas.openxmlformats.org/officeDocument/2006/customXml" ds:itemID="{E5BEA7B7-8EA4-4955-90AB-9C9617291B04}">
  <ds:schemaRefs>
    <ds:schemaRef ds:uri="http://schemas.openxmlformats.org/officeDocument/2006/bibliography"/>
  </ds:schemaRefs>
</ds:datastoreItem>
</file>

<file path=customXml/itemProps3.xml><?xml version="1.0" encoding="utf-8"?>
<ds:datastoreItem xmlns:ds="http://schemas.openxmlformats.org/officeDocument/2006/customXml" ds:itemID="{C807E8CF-14FB-4B1D-9ACA-30EA29090E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4C1E16-49AF-4437-AA23-105A18BE9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13094-9d18-4b50-b552-85f2ffc59674"/>
    <ds:schemaRef ds:uri="27e32b33-cede-49df-9b08-325f31b98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1603</Words>
  <Characters>10099</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 Andrea</dc:creator>
  <cp:keywords/>
  <dc:description/>
  <cp:lastModifiedBy>Diener Fabian</cp:lastModifiedBy>
  <cp:revision>9</cp:revision>
  <cp:lastPrinted>2020-05-14T14:04:00Z</cp:lastPrinted>
  <dcterms:created xsi:type="dcterms:W3CDTF">2025-09-22T14:43:00Z</dcterms:created>
  <dcterms:modified xsi:type="dcterms:W3CDTF">2025-10-20T14:43:00Z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0x0101002DF383A45D060C48B6843175EE62E6AE</vt:lpwstr>
  </property>
</Properties>
</file>